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CC82DB">
      <w:r>
        <w:drawing>
          <wp:inline distT="0" distB="0" distL="114300" distR="114300">
            <wp:extent cx="5697855" cy="7425055"/>
            <wp:effectExtent l="0" t="0" r="17145"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697855" cy="7425055"/>
                    </a:xfrm>
                    <a:prstGeom prst="rect">
                      <a:avLst/>
                    </a:prstGeom>
                    <a:noFill/>
                    <a:ln>
                      <a:noFill/>
                    </a:ln>
                  </pic:spPr>
                </pic:pic>
              </a:graphicData>
            </a:graphic>
          </wp:inline>
        </w:drawing>
      </w:r>
    </w:p>
    <w:p w14:paraId="0FD26896"/>
    <w:p w14:paraId="1051D1DE"/>
    <w:p w14:paraId="1F0AA02A"/>
    <w:p w14:paraId="4F8763AB"/>
    <w:p w14:paraId="55C772D4"/>
    <w:p w14:paraId="2B1B833B"/>
    <w:p w14:paraId="14C42203">
      <w:r>
        <w:drawing>
          <wp:inline distT="0" distB="0" distL="114300" distR="114300">
            <wp:extent cx="5645150" cy="7449820"/>
            <wp:effectExtent l="0" t="0" r="12700" b="177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645150" cy="7449820"/>
                    </a:xfrm>
                    <a:prstGeom prst="rect">
                      <a:avLst/>
                    </a:prstGeom>
                    <a:noFill/>
                    <a:ln>
                      <a:noFill/>
                    </a:ln>
                  </pic:spPr>
                </pic:pic>
              </a:graphicData>
            </a:graphic>
          </wp:inline>
        </w:drawing>
      </w:r>
    </w:p>
    <w:p w14:paraId="183CBEFA"/>
    <w:p w14:paraId="4379BBD8"/>
    <w:p w14:paraId="08379042"/>
    <w:p w14:paraId="59D34C85"/>
    <w:p w14:paraId="5EEFC027"/>
    <w:p w14:paraId="5FAEA476"/>
    <w:p w14:paraId="54857E1D">
      <w:r>
        <w:drawing>
          <wp:inline distT="0" distB="0" distL="114300" distR="114300">
            <wp:extent cx="5981700" cy="7993380"/>
            <wp:effectExtent l="0" t="0" r="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5981700" cy="7993380"/>
                    </a:xfrm>
                    <a:prstGeom prst="rect">
                      <a:avLst/>
                    </a:prstGeom>
                    <a:noFill/>
                    <a:ln>
                      <a:noFill/>
                    </a:ln>
                  </pic:spPr>
                </pic:pic>
              </a:graphicData>
            </a:graphic>
          </wp:inline>
        </w:drawing>
      </w:r>
    </w:p>
    <w:p w14:paraId="4201D3EB"/>
    <w:p w14:paraId="29F16522"/>
    <w:p w14:paraId="652C850C"/>
    <w:p w14:paraId="5A7DAB3C">
      <w:r>
        <w:drawing>
          <wp:inline distT="0" distB="0" distL="114300" distR="114300">
            <wp:extent cx="5594985" cy="7766685"/>
            <wp:effectExtent l="0" t="0" r="5715" b="57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5594985" cy="7766685"/>
                    </a:xfrm>
                    <a:prstGeom prst="rect">
                      <a:avLst/>
                    </a:prstGeom>
                    <a:noFill/>
                    <a:ln>
                      <a:noFill/>
                    </a:ln>
                  </pic:spPr>
                </pic:pic>
              </a:graphicData>
            </a:graphic>
          </wp:inline>
        </w:drawing>
      </w:r>
    </w:p>
    <w:p w14:paraId="5D5B386B"/>
    <w:p w14:paraId="5063DE43"/>
    <w:p w14:paraId="703F1592"/>
    <w:p w14:paraId="7A03AF63"/>
    <w:p w14:paraId="654E028F">
      <w:r>
        <w:drawing>
          <wp:inline distT="0" distB="0" distL="114300" distR="114300">
            <wp:extent cx="5681345" cy="7896860"/>
            <wp:effectExtent l="0" t="0" r="14605" b="889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5681345" cy="7896860"/>
                    </a:xfrm>
                    <a:prstGeom prst="rect">
                      <a:avLst/>
                    </a:prstGeom>
                    <a:noFill/>
                    <a:ln>
                      <a:noFill/>
                    </a:ln>
                  </pic:spPr>
                </pic:pic>
              </a:graphicData>
            </a:graphic>
          </wp:inline>
        </w:drawing>
      </w:r>
    </w:p>
    <w:p w14:paraId="54E912DD"/>
    <w:p w14:paraId="4A589D97"/>
    <w:p w14:paraId="5F1AF156"/>
    <w:p w14:paraId="384C4F9F"/>
    <w:p w14:paraId="640E8CFB">
      <w:pPr>
        <w:pStyle w:val="4"/>
        <w:snapToGrid w:val="0"/>
        <w:spacing w:line="400" w:lineRule="exact"/>
        <w:jc w:val="center"/>
        <w:rPr>
          <w:rFonts w:hint="default" w:ascii="方正小标宋简体" w:hAnsi="方正小标宋简体" w:eastAsia="方正小标宋简体" w:cs="方正小标宋简体"/>
          <w:bCs/>
          <w:color w:val="000000"/>
          <w:sz w:val="32"/>
          <w:szCs w:val="32"/>
        </w:rPr>
      </w:pPr>
      <w:bookmarkStart w:id="0" w:name="机构名称2"/>
      <w:bookmarkEnd w:id="0"/>
      <w:r>
        <w:rPr>
          <w:rFonts w:ascii="方正小标宋简体" w:hAnsi="方正小标宋简体" w:eastAsia="方正小标宋简体" w:cs="方正小标宋简体"/>
          <w:bCs/>
          <w:color w:val="000000"/>
          <w:sz w:val="32"/>
          <w:szCs w:val="32"/>
        </w:rPr>
        <w:t>三门峡市政府集中采购中心采购项目评审报告</w:t>
      </w:r>
      <w:bookmarkStart w:id="1" w:name="包2"/>
      <w:bookmarkEnd w:id="1"/>
    </w:p>
    <w:p w14:paraId="400F77FA">
      <w:pPr>
        <w:pStyle w:val="4"/>
        <w:snapToGrid w:val="0"/>
        <w:spacing w:line="400" w:lineRule="exact"/>
        <w:jc w:val="center"/>
        <w:rPr>
          <w:rFonts w:hint="default" w:ascii="仿宋" w:hAnsi="仿宋"/>
          <w:b/>
          <w:color w:val="000000"/>
          <w:sz w:val="28"/>
        </w:rPr>
      </w:pPr>
    </w:p>
    <w:p w14:paraId="28FAAEA7">
      <w:pPr>
        <w:pStyle w:val="4"/>
        <w:snapToGrid w:val="0"/>
        <w:spacing w:line="400" w:lineRule="exact"/>
        <w:jc w:val="center"/>
        <w:rPr>
          <w:rFonts w:hint="default" w:ascii="仿宋" w:hAnsi="仿宋"/>
          <w:b/>
          <w:color w:val="000000"/>
          <w:sz w:val="28"/>
        </w:rPr>
      </w:pPr>
      <w:r>
        <w:rPr>
          <w:rFonts w:ascii="仿宋" w:hAnsi="仿宋"/>
          <w:b/>
          <w:color w:val="000000"/>
          <w:sz w:val="28"/>
        </w:rPr>
        <w:t>一、采购项目基本情况</w:t>
      </w:r>
      <w:bookmarkStart w:id="2" w:name="包"/>
      <w:bookmarkEnd w:id="2"/>
    </w:p>
    <w:p w14:paraId="1FC10053">
      <w:pPr>
        <w:pStyle w:val="4"/>
        <w:snapToGrid w:val="0"/>
        <w:spacing w:line="400" w:lineRule="exact"/>
        <w:ind w:firstLine="560" w:firstLineChars="200"/>
        <w:rPr>
          <w:rFonts w:hint="default" w:ascii="仿宋" w:hAnsi="仿宋"/>
          <w:color w:val="000000"/>
          <w:sz w:val="28"/>
          <w:u w:val="single"/>
        </w:rPr>
      </w:pPr>
      <w:r>
        <w:rPr>
          <w:rFonts w:ascii="仿宋" w:hAnsi="仿宋"/>
          <w:color w:val="000000"/>
          <w:sz w:val="28"/>
        </w:rPr>
        <w:t>1、采购组织机构：</w:t>
      </w:r>
      <w:bookmarkStart w:id="3" w:name="机构名称"/>
      <w:bookmarkEnd w:id="3"/>
      <w:r>
        <w:rPr>
          <w:rFonts w:ascii="仿宋" w:hAnsi="仿宋"/>
          <w:color w:val="000000"/>
          <w:sz w:val="28"/>
        </w:rPr>
        <w:t>三门峡市政府集中采购中心</w:t>
      </w:r>
    </w:p>
    <w:p w14:paraId="66FD3980">
      <w:pPr>
        <w:pStyle w:val="4"/>
        <w:snapToGrid w:val="0"/>
        <w:spacing w:line="400" w:lineRule="exact"/>
        <w:ind w:firstLine="560" w:firstLineChars="200"/>
        <w:rPr>
          <w:rFonts w:hint="default" w:ascii="仿宋" w:hAnsi="仿宋"/>
          <w:color w:val="000000"/>
          <w:kern w:val="0"/>
          <w:sz w:val="28"/>
          <w:u w:val="single"/>
        </w:rPr>
      </w:pPr>
      <w:r>
        <w:rPr>
          <w:rFonts w:ascii="仿宋" w:hAnsi="仿宋"/>
          <w:color w:val="000000"/>
          <w:kern w:val="0"/>
          <w:sz w:val="28"/>
        </w:rPr>
        <w:t>2、项目名称：</w:t>
      </w:r>
      <w:bookmarkStart w:id="4" w:name="项目名称"/>
      <w:bookmarkEnd w:id="4"/>
      <w:r>
        <w:rPr>
          <w:rFonts w:ascii="仿宋" w:hAnsi="仿宋"/>
          <w:color w:val="000000"/>
          <w:kern w:val="0"/>
          <w:sz w:val="28"/>
        </w:rPr>
        <w:t>三门峡市公安局采购市区13个路口电子警察项目</w:t>
      </w:r>
    </w:p>
    <w:p w14:paraId="4979A159">
      <w:pPr>
        <w:pStyle w:val="4"/>
        <w:snapToGrid w:val="0"/>
        <w:spacing w:line="400" w:lineRule="exact"/>
        <w:ind w:firstLine="560" w:firstLineChars="200"/>
        <w:rPr>
          <w:rFonts w:hint="default" w:ascii="仿宋" w:hAnsi="仿宋"/>
          <w:color w:val="000000"/>
          <w:sz w:val="28"/>
          <w:u w:val="single"/>
        </w:rPr>
      </w:pPr>
      <w:r>
        <w:rPr>
          <w:rFonts w:ascii="仿宋" w:hAnsi="仿宋"/>
          <w:color w:val="000000"/>
          <w:sz w:val="28"/>
        </w:rPr>
        <w:t>3、项目编号：</w:t>
      </w:r>
      <w:bookmarkStart w:id="5" w:name="项目编号"/>
      <w:bookmarkEnd w:id="5"/>
      <w:r>
        <w:rPr>
          <w:rFonts w:ascii="仿宋" w:hAnsi="仿宋"/>
          <w:color w:val="000000"/>
          <w:sz w:val="28"/>
        </w:rPr>
        <w:t>SGZ[2026]202-ZC136</w:t>
      </w:r>
    </w:p>
    <w:p w14:paraId="17C04630">
      <w:pPr>
        <w:pStyle w:val="4"/>
        <w:snapToGrid w:val="0"/>
        <w:spacing w:line="400" w:lineRule="exact"/>
        <w:ind w:firstLine="560" w:firstLineChars="200"/>
        <w:rPr>
          <w:rFonts w:hint="default" w:ascii="仿宋" w:hAnsi="仿宋"/>
          <w:color w:val="000000"/>
          <w:sz w:val="28"/>
          <w:u w:val="single"/>
        </w:rPr>
      </w:pPr>
      <w:r>
        <w:rPr>
          <w:rFonts w:ascii="仿宋" w:hAnsi="仿宋"/>
          <w:color w:val="000000"/>
          <w:sz w:val="28"/>
        </w:rPr>
        <w:t>4、采购内容：</w:t>
      </w:r>
      <w:bookmarkStart w:id="6" w:name="采购内容"/>
      <w:bookmarkEnd w:id="6"/>
      <w:r>
        <w:rPr>
          <w:rFonts w:ascii="仿宋" w:hAnsi="仿宋"/>
          <w:color w:val="000000"/>
          <w:sz w:val="28"/>
        </w:rPr>
        <w:t>三门峡市公安局采购市区13个路口电子警察项目</w:t>
      </w:r>
    </w:p>
    <w:p w14:paraId="140809DF">
      <w:pPr>
        <w:pStyle w:val="4"/>
        <w:snapToGrid w:val="0"/>
        <w:spacing w:line="400" w:lineRule="exact"/>
        <w:ind w:firstLine="560" w:firstLineChars="200"/>
        <w:rPr>
          <w:rFonts w:hint="default" w:ascii="仿宋" w:hAnsi="仿宋"/>
          <w:color w:val="000000"/>
          <w:sz w:val="28"/>
          <w:u w:val="single"/>
        </w:rPr>
      </w:pPr>
      <w:r>
        <w:rPr>
          <w:rFonts w:ascii="仿宋" w:hAnsi="仿宋"/>
          <w:color w:val="000000"/>
          <w:sz w:val="28"/>
        </w:rPr>
        <w:t>5、开标地点：</w:t>
      </w:r>
      <w:bookmarkStart w:id="7" w:name="开标地点"/>
      <w:bookmarkEnd w:id="7"/>
      <w:r>
        <w:rPr>
          <w:rFonts w:ascii="仿宋" w:hAnsi="仿宋"/>
          <w:color w:val="000000"/>
          <w:sz w:val="28"/>
        </w:rPr>
        <w:t>第四开标室</w:t>
      </w:r>
    </w:p>
    <w:p w14:paraId="7C6CFE52">
      <w:pPr>
        <w:pStyle w:val="4"/>
        <w:snapToGrid w:val="0"/>
        <w:spacing w:line="400" w:lineRule="exact"/>
        <w:ind w:firstLine="560" w:firstLineChars="200"/>
        <w:rPr>
          <w:rFonts w:hint="default" w:ascii="仿宋" w:hAnsi="仿宋"/>
          <w:color w:val="000000"/>
          <w:sz w:val="28"/>
          <w:u w:val="single"/>
        </w:rPr>
      </w:pPr>
      <w:r>
        <w:rPr>
          <w:rFonts w:ascii="仿宋" w:hAnsi="仿宋"/>
          <w:color w:val="000000"/>
          <w:sz w:val="28"/>
        </w:rPr>
        <w:t>6、采购单位：</w:t>
      </w:r>
      <w:bookmarkStart w:id="8" w:name="采购单位"/>
      <w:bookmarkEnd w:id="8"/>
      <w:r>
        <w:rPr>
          <w:rFonts w:ascii="仿宋" w:hAnsi="仿宋"/>
          <w:color w:val="000000"/>
          <w:sz w:val="28"/>
        </w:rPr>
        <w:t>三门峡市公安局</w:t>
      </w:r>
    </w:p>
    <w:p w14:paraId="18D2281A">
      <w:pPr>
        <w:pStyle w:val="4"/>
        <w:snapToGrid w:val="0"/>
        <w:spacing w:line="400" w:lineRule="exact"/>
        <w:ind w:firstLine="560" w:firstLineChars="200"/>
        <w:rPr>
          <w:rFonts w:hint="default" w:ascii="仿宋" w:hAnsi="仿宋"/>
          <w:color w:val="000000"/>
          <w:kern w:val="0"/>
          <w:sz w:val="28"/>
          <w:u w:val="single"/>
        </w:rPr>
      </w:pPr>
      <w:r>
        <w:rPr>
          <w:rFonts w:ascii="仿宋" w:hAnsi="仿宋"/>
          <w:color w:val="000000"/>
          <w:kern w:val="0"/>
          <w:sz w:val="28"/>
        </w:rPr>
        <w:t>7、采购预算金额</w:t>
      </w:r>
      <w:bookmarkStart w:id="9" w:name="采购预算金额"/>
      <w:bookmarkEnd w:id="9"/>
      <w:r>
        <w:rPr>
          <w:rFonts w:ascii="仿宋" w:hAnsi="仿宋"/>
          <w:color w:val="000000"/>
          <w:kern w:val="0"/>
          <w:sz w:val="28"/>
        </w:rPr>
        <w:t>：313.677625(万元)</w:t>
      </w:r>
    </w:p>
    <w:p w14:paraId="18431699">
      <w:pPr>
        <w:pStyle w:val="4"/>
        <w:snapToGrid w:val="0"/>
        <w:spacing w:line="400" w:lineRule="exact"/>
        <w:ind w:firstLine="560" w:firstLineChars="200"/>
        <w:rPr>
          <w:rFonts w:hint="default" w:ascii="仿宋" w:hAnsi="仿宋"/>
          <w:color w:val="000000"/>
          <w:kern w:val="0"/>
          <w:sz w:val="28"/>
          <w:u w:val="single"/>
        </w:rPr>
      </w:pPr>
      <w:r>
        <w:rPr>
          <w:rFonts w:ascii="仿宋" w:hAnsi="仿宋"/>
          <w:color w:val="000000"/>
          <w:kern w:val="0"/>
          <w:sz w:val="28"/>
        </w:rPr>
        <w:t>8、采购方式：</w:t>
      </w:r>
      <w:bookmarkStart w:id="10" w:name="采购方式"/>
      <w:bookmarkEnd w:id="10"/>
      <w:r>
        <w:rPr>
          <w:rFonts w:ascii="仿宋" w:hAnsi="仿宋"/>
          <w:color w:val="000000"/>
          <w:kern w:val="0"/>
          <w:sz w:val="28"/>
        </w:rPr>
        <w:t>公开招标</w:t>
      </w:r>
    </w:p>
    <w:p w14:paraId="77132588">
      <w:pPr>
        <w:pStyle w:val="4"/>
        <w:snapToGrid w:val="0"/>
        <w:spacing w:line="400" w:lineRule="exact"/>
        <w:ind w:firstLine="560" w:firstLineChars="200"/>
        <w:rPr>
          <w:rFonts w:hint="default" w:ascii="仿宋" w:hAnsi="仿宋"/>
          <w:color w:val="000000"/>
          <w:sz w:val="28"/>
          <w:u w:val="single"/>
        </w:rPr>
      </w:pPr>
      <w:r>
        <w:rPr>
          <w:rFonts w:ascii="仿宋" w:hAnsi="仿宋"/>
          <w:color w:val="000000"/>
          <w:sz w:val="28"/>
        </w:rPr>
        <w:t>9、发布公告时间：</w:t>
      </w:r>
      <w:bookmarkStart w:id="11" w:name="发布公告时间"/>
      <w:bookmarkEnd w:id="11"/>
      <w:r>
        <w:rPr>
          <w:rFonts w:ascii="仿宋" w:hAnsi="仿宋"/>
          <w:color w:val="000000"/>
          <w:sz w:val="28"/>
        </w:rPr>
        <w:t>2026-07-07 15:52:18</w:t>
      </w:r>
    </w:p>
    <w:p w14:paraId="11CC5F37">
      <w:pPr>
        <w:pStyle w:val="4"/>
        <w:snapToGrid w:val="0"/>
        <w:spacing w:line="400" w:lineRule="exact"/>
        <w:ind w:firstLine="560" w:firstLineChars="200"/>
        <w:rPr>
          <w:rFonts w:hint="default" w:ascii="仿宋" w:hAnsi="仿宋"/>
          <w:color w:val="000000"/>
          <w:sz w:val="28"/>
          <w:u w:val="single"/>
        </w:rPr>
      </w:pPr>
      <w:r>
        <w:rPr>
          <w:rFonts w:ascii="仿宋" w:hAnsi="仿宋"/>
          <w:color w:val="000000"/>
          <w:sz w:val="28"/>
        </w:rPr>
        <w:t>10、公告发布网站：《河南省政府采购网》和《三门峡市公共资源交易中心网》、《三门峡市政府采购服务中心网》</w:t>
      </w:r>
    </w:p>
    <w:p w14:paraId="27488248">
      <w:pPr>
        <w:pStyle w:val="4"/>
        <w:snapToGrid w:val="0"/>
        <w:spacing w:line="400" w:lineRule="exact"/>
        <w:ind w:firstLine="560" w:firstLineChars="200"/>
        <w:rPr>
          <w:rFonts w:hint="default" w:ascii="仿宋" w:hAnsi="仿宋"/>
          <w:color w:val="000000"/>
          <w:sz w:val="28"/>
          <w:u w:val="single"/>
        </w:rPr>
      </w:pPr>
      <w:r>
        <w:rPr>
          <w:rFonts w:ascii="仿宋" w:hAnsi="仿宋"/>
          <w:color w:val="000000"/>
          <w:sz w:val="28"/>
        </w:rPr>
        <w:t>11、采购响应截止时间：</w:t>
      </w:r>
      <w:bookmarkStart w:id="12" w:name="采购响应截止时间"/>
      <w:bookmarkEnd w:id="12"/>
      <w:r>
        <w:rPr>
          <w:rFonts w:ascii="仿宋" w:hAnsi="仿宋"/>
          <w:color w:val="000000"/>
          <w:sz w:val="28"/>
        </w:rPr>
        <w:t>2026-07-28 08:30</w:t>
      </w:r>
    </w:p>
    <w:p w14:paraId="734CC8BF">
      <w:pPr>
        <w:pStyle w:val="4"/>
        <w:snapToGrid w:val="0"/>
        <w:spacing w:line="400" w:lineRule="exact"/>
        <w:jc w:val="center"/>
        <w:rPr>
          <w:rFonts w:hint="default" w:ascii="仿宋" w:hAnsi="仿宋"/>
          <w:b/>
          <w:color w:val="000000"/>
          <w:sz w:val="28"/>
        </w:rPr>
      </w:pPr>
      <w:r>
        <w:rPr>
          <w:rFonts w:ascii="仿宋" w:hAnsi="仿宋"/>
          <w:b/>
          <w:color w:val="000000"/>
          <w:sz w:val="28"/>
        </w:rPr>
        <w:t>二、评审小组组成</w:t>
      </w:r>
    </w:p>
    <w:p w14:paraId="797F796B">
      <w:pPr>
        <w:pStyle w:val="4"/>
        <w:snapToGrid w:val="0"/>
        <w:spacing w:line="400" w:lineRule="exact"/>
        <w:ind w:firstLine="555"/>
        <w:rPr>
          <w:rFonts w:hint="eastAsia" w:ascii="仿宋" w:hAnsi="仿宋" w:eastAsia="宋体"/>
          <w:color w:val="000000"/>
          <w:sz w:val="28"/>
          <w:lang w:eastAsia="zh-CN"/>
        </w:rPr>
      </w:pPr>
      <w:r>
        <w:rPr>
          <w:rFonts w:ascii="仿宋" w:hAnsi="仿宋"/>
          <w:color w:val="000000"/>
          <w:sz w:val="28"/>
        </w:rPr>
        <w:t>1、采购人及采购组织机构按政府采购法律、法规、文件的规定组建评审小组，通过向</w:t>
      </w:r>
      <w:r>
        <w:rPr>
          <w:rFonts w:ascii="仿宋" w:hAnsi="仿宋"/>
          <w:color w:val="000000"/>
          <w:sz w:val="28"/>
          <w:u w:val="single"/>
        </w:rPr>
        <w:t>抽取</w:t>
      </w:r>
      <w:bookmarkStart w:id="13" w:name="抽取方式"/>
      <w:bookmarkEnd w:id="13"/>
      <w:r>
        <w:rPr>
          <w:rFonts w:ascii="仿宋" w:hAnsi="仿宋"/>
          <w:color w:val="000000"/>
          <w:sz w:val="28"/>
        </w:rPr>
        <w:t>的方式确定评审专家，</w:t>
      </w:r>
      <w:bookmarkStart w:id="14" w:name="采购人代表"/>
      <w:bookmarkEnd w:id="14"/>
      <w:r>
        <w:rPr>
          <w:rFonts w:ascii="仿宋" w:hAnsi="仿宋"/>
          <w:color w:val="000000"/>
          <w:sz w:val="28"/>
        </w:rPr>
        <w:t>评审专家</w:t>
      </w:r>
      <w:bookmarkStart w:id="15" w:name="评审专家"/>
      <w:bookmarkEnd w:id="15"/>
      <w:r>
        <w:rPr>
          <w:rFonts w:ascii="仿宋" w:hAnsi="仿宋"/>
          <w:color w:val="000000"/>
          <w:sz w:val="28"/>
        </w:rPr>
        <w:t>5人，分别如下：赵全法</w:t>
      </w:r>
      <w:r>
        <w:rPr>
          <w:rFonts w:hint="eastAsia" w:ascii="仿宋" w:hAnsi="仿宋"/>
          <w:color w:val="000000"/>
          <w:sz w:val="28"/>
          <w:lang w:eastAsia="zh-CN"/>
        </w:rPr>
        <w:t>、</w:t>
      </w:r>
      <w:r>
        <w:rPr>
          <w:rFonts w:ascii="仿宋" w:hAnsi="仿宋"/>
          <w:color w:val="000000"/>
          <w:sz w:val="28"/>
        </w:rPr>
        <w:t>苏国辉</w:t>
      </w:r>
      <w:r>
        <w:rPr>
          <w:rFonts w:hint="eastAsia" w:ascii="仿宋" w:hAnsi="仿宋"/>
          <w:color w:val="000000"/>
          <w:sz w:val="28"/>
          <w:lang w:eastAsia="zh-CN"/>
        </w:rPr>
        <w:t>、</w:t>
      </w:r>
      <w:r>
        <w:rPr>
          <w:rFonts w:ascii="仿宋" w:hAnsi="仿宋"/>
          <w:color w:val="000000"/>
          <w:sz w:val="28"/>
        </w:rPr>
        <w:t>李海涛</w:t>
      </w:r>
      <w:r>
        <w:rPr>
          <w:rFonts w:hint="eastAsia" w:ascii="仿宋" w:hAnsi="仿宋"/>
          <w:color w:val="000000"/>
          <w:sz w:val="28"/>
          <w:lang w:eastAsia="zh-CN"/>
        </w:rPr>
        <w:t>、</w:t>
      </w:r>
      <w:r>
        <w:rPr>
          <w:rFonts w:ascii="仿宋" w:hAnsi="仿宋"/>
          <w:color w:val="000000"/>
          <w:sz w:val="28"/>
        </w:rPr>
        <w:t>马俊峰</w:t>
      </w:r>
      <w:r>
        <w:rPr>
          <w:rFonts w:hint="eastAsia" w:ascii="仿宋" w:hAnsi="仿宋"/>
          <w:color w:val="000000"/>
          <w:sz w:val="28"/>
          <w:lang w:eastAsia="zh-CN"/>
        </w:rPr>
        <w:t>、</w:t>
      </w:r>
      <w:r>
        <w:rPr>
          <w:rFonts w:ascii="仿宋" w:hAnsi="仿宋"/>
          <w:color w:val="000000"/>
          <w:sz w:val="28"/>
        </w:rPr>
        <w:t>张顺来</w:t>
      </w:r>
      <w:r>
        <w:rPr>
          <w:rFonts w:hint="eastAsia" w:ascii="仿宋" w:hAnsi="仿宋"/>
          <w:color w:val="000000"/>
          <w:sz w:val="28"/>
          <w:lang w:eastAsia="zh-CN"/>
        </w:rPr>
        <w:t>。</w:t>
      </w:r>
    </w:p>
    <w:p w14:paraId="6F8AC36E">
      <w:pPr>
        <w:pStyle w:val="4"/>
        <w:snapToGrid w:val="0"/>
        <w:spacing w:line="400" w:lineRule="exact"/>
        <w:ind w:firstLine="560" w:firstLineChars="200"/>
        <w:rPr>
          <w:rFonts w:hint="default" w:ascii="仿宋" w:hAnsi="仿宋"/>
          <w:color w:val="000000"/>
          <w:kern w:val="0"/>
          <w:sz w:val="28"/>
        </w:rPr>
      </w:pPr>
      <w:r>
        <w:rPr>
          <w:rFonts w:ascii="仿宋" w:hAnsi="仿宋"/>
          <w:color w:val="000000"/>
          <w:kern w:val="0"/>
          <w:sz w:val="28"/>
        </w:rPr>
        <w:t>2、经核对，评审人员身份与上表名单一致。</w:t>
      </w:r>
    </w:p>
    <w:p w14:paraId="69D55163">
      <w:pPr>
        <w:pStyle w:val="4"/>
        <w:snapToGrid w:val="0"/>
        <w:spacing w:line="400" w:lineRule="exact"/>
        <w:ind w:firstLine="560" w:firstLineChars="200"/>
        <w:rPr>
          <w:rFonts w:hint="default" w:ascii="仿宋" w:hAnsi="仿宋"/>
          <w:color w:val="000000"/>
          <w:kern w:val="0"/>
          <w:sz w:val="28"/>
        </w:rPr>
      </w:pPr>
      <w:r>
        <w:rPr>
          <w:rFonts w:ascii="仿宋" w:hAnsi="仿宋"/>
          <w:color w:val="000000"/>
          <w:kern w:val="0"/>
          <w:sz w:val="28"/>
        </w:rPr>
        <w:t>3、评审小组成员均签署《政府采购评审小组成员廉洁自律承诺书》。</w:t>
      </w:r>
    </w:p>
    <w:p w14:paraId="385D558D">
      <w:pPr>
        <w:pStyle w:val="4"/>
        <w:snapToGrid w:val="0"/>
        <w:spacing w:line="400" w:lineRule="exact"/>
        <w:ind w:firstLine="560" w:firstLineChars="200"/>
        <w:rPr>
          <w:rFonts w:hint="default" w:ascii="仿宋" w:hAnsi="仿宋"/>
          <w:b/>
          <w:color w:val="000000"/>
          <w:sz w:val="28"/>
        </w:rPr>
      </w:pPr>
      <w:r>
        <w:rPr>
          <w:rFonts w:ascii="仿宋" w:hAnsi="仿宋"/>
          <w:color w:val="000000"/>
          <w:kern w:val="0"/>
          <w:sz w:val="28"/>
        </w:rPr>
        <w:t>4、评审小组其他情况说明：</w:t>
      </w:r>
      <w:r>
        <w:rPr>
          <w:rFonts w:ascii="仿宋" w:hAnsi="仿宋"/>
          <w:color w:val="000000"/>
          <w:kern w:val="0"/>
          <w:sz w:val="28"/>
          <w:u w:val="single"/>
        </w:rPr>
        <w:t>无</w:t>
      </w:r>
    </w:p>
    <w:p w14:paraId="0FE0FCA8">
      <w:pPr>
        <w:pStyle w:val="4"/>
        <w:snapToGrid w:val="0"/>
        <w:spacing w:line="400" w:lineRule="exact"/>
        <w:jc w:val="center"/>
        <w:rPr>
          <w:rFonts w:hint="default" w:ascii="仿宋" w:hAnsi="仿宋"/>
          <w:b/>
          <w:color w:val="000000"/>
          <w:sz w:val="28"/>
        </w:rPr>
      </w:pPr>
      <w:r>
        <w:rPr>
          <w:rFonts w:ascii="仿宋" w:hAnsi="仿宋"/>
          <w:b/>
          <w:color w:val="000000"/>
          <w:sz w:val="28"/>
        </w:rPr>
        <w:t>三、评审方法和标准</w:t>
      </w:r>
    </w:p>
    <w:p w14:paraId="469D15A9">
      <w:pPr>
        <w:pStyle w:val="4"/>
        <w:snapToGrid w:val="0"/>
        <w:spacing w:line="400" w:lineRule="exact"/>
        <w:ind w:firstLine="570"/>
        <w:rPr>
          <w:rFonts w:hint="default" w:ascii="仿宋" w:hAnsi="仿宋"/>
          <w:b/>
          <w:color w:val="000000"/>
          <w:sz w:val="28"/>
        </w:rPr>
      </w:pPr>
      <w:r>
        <w:rPr>
          <w:rFonts w:ascii="仿宋" w:hAnsi="仿宋"/>
          <w:color w:val="000000"/>
          <w:sz w:val="28"/>
        </w:rPr>
        <w:t>本项目采用综合评分法</w:t>
      </w:r>
      <w:bookmarkStart w:id="16" w:name="评分方法"/>
      <w:bookmarkEnd w:id="16"/>
      <w:r>
        <w:rPr>
          <w:rFonts w:ascii="仿宋" w:hAnsi="仿宋"/>
          <w:color w:val="000000"/>
          <w:sz w:val="28"/>
        </w:rPr>
        <w:t>，具体评分标准详见采购文件</w:t>
      </w:r>
      <w:r>
        <w:rPr>
          <w:rFonts w:hint="default" w:ascii="仿宋" w:hAnsi="仿宋"/>
          <w:color w:val="000000"/>
          <w:sz w:val="28"/>
        </w:rPr>
        <w:t>“</w:t>
      </w:r>
      <w:r>
        <w:rPr>
          <w:rFonts w:ascii="仿宋" w:hAnsi="仿宋"/>
          <w:color w:val="000000"/>
          <w:sz w:val="28"/>
        </w:rPr>
        <w:t>评审办法</w:t>
      </w:r>
      <w:r>
        <w:rPr>
          <w:rFonts w:hint="default" w:ascii="仿宋" w:hAnsi="仿宋"/>
          <w:color w:val="000000"/>
          <w:sz w:val="28"/>
        </w:rPr>
        <w:t>”</w:t>
      </w:r>
      <w:r>
        <w:rPr>
          <w:rFonts w:ascii="仿宋" w:hAnsi="仿宋"/>
          <w:color w:val="000000"/>
          <w:sz w:val="28"/>
        </w:rPr>
        <w:t>。</w:t>
      </w:r>
    </w:p>
    <w:p w14:paraId="2FEE8848">
      <w:pPr>
        <w:pStyle w:val="4"/>
        <w:snapToGrid w:val="0"/>
        <w:spacing w:line="400" w:lineRule="exact"/>
        <w:jc w:val="center"/>
        <w:rPr>
          <w:rFonts w:hint="default" w:ascii="仿宋" w:hAnsi="仿宋"/>
          <w:b/>
          <w:color w:val="000000"/>
          <w:sz w:val="28"/>
        </w:rPr>
      </w:pPr>
      <w:r>
        <w:rPr>
          <w:rFonts w:ascii="仿宋" w:hAnsi="仿宋"/>
          <w:b/>
          <w:color w:val="000000"/>
          <w:sz w:val="28"/>
        </w:rPr>
        <w:t>四、评审情况及说明</w:t>
      </w:r>
    </w:p>
    <w:p w14:paraId="059AB708">
      <w:pPr>
        <w:pStyle w:val="4"/>
        <w:snapToGrid w:val="0"/>
        <w:spacing w:line="400" w:lineRule="exact"/>
        <w:ind w:firstLine="420"/>
        <w:rPr>
          <w:rFonts w:hint="eastAsia" w:ascii="仿宋" w:hAnsi="仿宋" w:eastAsia="宋体"/>
          <w:color w:val="000000"/>
          <w:sz w:val="28"/>
          <w:lang w:eastAsia="zh-CN"/>
        </w:rPr>
      </w:pPr>
      <w:r>
        <w:rPr>
          <w:rFonts w:ascii="仿宋" w:hAnsi="仿宋"/>
          <w:color w:val="000000"/>
          <w:sz w:val="28"/>
        </w:rPr>
        <w:t>1、</w:t>
      </w:r>
      <w:bookmarkStart w:id="17" w:name="OLE_LINK1"/>
      <w:bookmarkStart w:id="18" w:name="OLE_LINK2"/>
      <w:r>
        <w:rPr>
          <w:rFonts w:ascii="仿宋" w:hAnsi="仿宋"/>
          <w:color w:val="000000"/>
          <w:sz w:val="28"/>
        </w:rPr>
        <w:t>资格审</w:t>
      </w:r>
      <w:bookmarkEnd w:id="17"/>
      <w:bookmarkEnd w:id="18"/>
      <w:r>
        <w:rPr>
          <w:rFonts w:ascii="仿宋" w:hAnsi="仿宋"/>
          <w:color w:val="000000"/>
          <w:sz w:val="28"/>
        </w:rPr>
        <w:t>查情况说明：</w:t>
      </w:r>
      <w:r>
        <w:rPr>
          <w:rFonts w:hint="eastAsia" w:ascii="仿宋" w:hAnsi="仿宋"/>
          <w:color w:val="000000"/>
          <w:sz w:val="28"/>
          <w:lang w:eastAsia="zh-CN"/>
        </w:rPr>
        <w:t>无</w:t>
      </w:r>
    </w:p>
    <w:p w14:paraId="7F8ACC1B">
      <w:pPr>
        <w:pStyle w:val="4"/>
        <w:snapToGrid w:val="0"/>
        <w:spacing w:line="400" w:lineRule="exact"/>
        <w:ind w:firstLine="420"/>
        <w:rPr>
          <w:rFonts w:hint="eastAsia" w:ascii="仿宋" w:hAnsi="仿宋" w:eastAsia="宋体"/>
          <w:color w:val="000000"/>
          <w:sz w:val="28"/>
          <w:lang w:eastAsia="zh-CN"/>
        </w:rPr>
      </w:pPr>
      <w:r>
        <w:rPr>
          <w:rFonts w:ascii="仿宋" w:hAnsi="仿宋"/>
          <w:color w:val="000000"/>
          <w:sz w:val="28"/>
        </w:rPr>
        <w:t>2、</w:t>
      </w:r>
      <w:bookmarkStart w:id="19" w:name="OLE_LINK5"/>
      <w:bookmarkStart w:id="20" w:name="OLE_LINK6"/>
      <w:r>
        <w:rPr>
          <w:rFonts w:ascii="仿宋" w:hAnsi="仿宋"/>
          <w:color w:val="000000"/>
          <w:sz w:val="28"/>
        </w:rPr>
        <w:t>符合性</w:t>
      </w:r>
      <w:bookmarkEnd w:id="19"/>
      <w:bookmarkEnd w:id="20"/>
      <w:r>
        <w:rPr>
          <w:rFonts w:ascii="仿宋" w:hAnsi="仿宋"/>
          <w:color w:val="000000"/>
          <w:sz w:val="28"/>
        </w:rPr>
        <w:t>情况检查说明：</w:t>
      </w:r>
      <w:r>
        <w:rPr>
          <w:rFonts w:hint="eastAsia" w:ascii="仿宋" w:hAnsi="仿宋"/>
          <w:color w:val="000000"/>
          <w:sz w:val="28"/>
          <w:lang w:eastAsia="zh-CN"/>
        </w:rPr>
        <w:t>无</w:t>
      </w:r>
    </w:p>
    <w:p w14:paraId="0364E7D5">
      <w:pPr>
        <w:pStyle w:val="4"/>
        <w:snapToGrid w:val="0"/>
        <w:spacing w:line="400" w:lineRule="exact"/>
        <w:ind w:firstLine="420"/>
        <w:rPr>
          <w:rFonts w:hint="default" w:ascii="仿宋" w:hAnsi="仿宋"/>
          <w:color w:val="000000"/>
          <w:sz w:val="28"/>
        </w:rPr>
      </w:pPr>
      <w:bookmarkStart w:id="21" w:name="无效响应供应商"/>
      <w:bookmarkEnd w:id="21"/>
      <w:r>
        <w:rPr>
          <w:rFonts w:ascii="仿宋" w:hAnsi="仿宋"/>
          <w:color w:val="000000"/>
          <w:sz w:val="28"/>
        </w:rPr>
        <w:t>3、提请澄清供应商名称、澄清问题及其说明情况：</w:t>
      </w:r>
      <w:bookmarkStart w:id="22" w:name="提请澄清供应商1"/>
      <w:bookmarkEnd w:id="22"/>
      <w:r>
        <w:rPr>
          <w:rFonts w:ascii="仿宋" w:hAnsi="仿宋"/>
          <w:color w:val="000000"/>
          <w:sz w:val="28"/>
        </w:rPr>
        <w:t>无</w:t>
      </w:r>
    </w:p>
    <w:p w14:paraId="7603588B">
      <w:pPr>
        <w:pStyle w:val="4"/>
        <w:snapToGrid w:val="0"/>
        <w:spacing w:line="400" w:lineRule="exact"/>
        <w:ind w:firstLine="420"/>
        <w:rPr>
          <w:rFonts w:hint="default" w:ascii="仿宋" w:hAnsi="仿宋"/>
          <w:color w:val="000000"/>
          <w:sz w:val="28"/>
        </w:rPr>
      </w:pPr>
      <w:r>
        <w:rPr>
          <w:rFonts w:ascii="仿宋" w:hAnsi="仿宋"/>
          <w:color w:val="000000"/>
          <w:sz w:val="28"/>
        </w:rPr>
        <w:t>4、比较和评价（包括技术和商务偏离情况，重点比较和评价候选供应商的优劣）：</w:t>
      </w:r>
    </w:p>
    <w:p w14:paraId="4901CDF7">
      <w:pPr>
        <w:pStyle w:val="4"/>
        <w:snapToGrid w:val="0"/>
        <w:spacing w:line="400" w:lineRule="exact"/>
        <w:ind w:firstLine="700" w:firstLineChars="250"/>
        <w:rPr>
          <w:rFonts w:hint="default" w:ascii="仿宋" w:hAnsi="仿宋"/>
          <w:color w:val="000000"/>
          <w:sz w:val="28"/>
        </w:rPr>
      </w:pPr>
      <w:bookmarkStart w:id="23" w:name="专家汇总意见"/>
      <w:bookmarkEnd w:id="23"/>
      <w:r>
        <w:rPr>
          <w:rFonts w:ascii="仿宋" w:hAnsi="仿宋"/>
          <w:color w:val="000000"/>
          <w:sz w:val="28"/>
        </w:rPr>
        <w:t>客观、公正。中移建设有限公司与联通（河南）产业互联网有限公司，所投产品系同一品牌产品，依据招标文件“投标人须知前附表”41条：相同品牌产品的处理办法，两家按一家投标人计算，经评委评审，得分最高的同品牌投标人中移建设有限公司获得中标供应商推荐资格。</w:t>
      </w:r>
    </w:p>
    <w:p w14:paraId="20316E01">
      <w:pPr>
        <w:pStyle w:val="4"/>
        <w:snapToGrid w:val="0"/>
        <w:spacing w:line="400" w:lineRule="exact"/>
        <w:ind w:firstLine="420"/>
        <w:rPr>
          <w:rFonts w:hint="default" w:ascii="仿宋" w:hAnsi="仿宋"/>
          <w:color w:val="000000"/>
          <w:sz w:val="28"/>
        </w:rPr>
      </w:pPr>
      <w:r>
        <w:rPr>
          <w:rFonts w:ascii="仿宋" w:hAnsi="仿宋"/>
          <w:color w:val="000000"/>
          <w:sz w:val="28"/>
        </w:rPr>
        <w:t>5、供应商得分排序表</w:t>
      </w:r>
      <w:bookmarkStart w:id="24" w:name="未进入最终轮谈判供应商"/>
      <w:bookmarkEnd w:id="24"/>
      <w:bookmarkStart w:id="25" w:name="项目打分表格"/>
      <w:bookmarkEnd w:id="25"/>
    </w:p>
    <w:tbl>
      <w:tblPr>
        <w:tblStyle w:val="2"/>
        <w:tblW w:w="8136"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0"/>
        <w:gridCol w:w="3128"/>
        <w:gridCol w:w="1991"/>
        <w:gridCol w:w="1623"/>
        <w:gridCol w:w="764"/>
      </w:tblGrid>
      <w:tr w14:paraId="4CF12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630" w:type="dxa"/>
            <w:vAlign w:val="center"/>
          </w:tcPr>
          <w:p w14:paraId="7623F115">
            <w:pPr>
              <w:pStyle w:val="4"/>
              <w:snapToGrid w:val="0"/>
              <w:spacing w:line="400" w:lineRule="exact"/>
              <w:jc w:val="center"/>
              <w:outlineLvl w:val="0"/>
              <w:rPr>
                <w:rFonts w:hint="default" w:ascii="仿宋" w:hAnsi="仿宋"/>
                <w:color w:val="000000"/>
                <w:sz w:val="28"/>
              </w:rPr>
            </w:pPr>
            <w:r>
              <w:rPr>
                <w:rFonts w:ascii="仿宋" w:hAnsi="仿宋"/>
                <w:color w:val="000000"/>
                <w:sz w:val="24"/>
              </w:rPr>
              <w:t>序号</w:t>
            </w:r>
          </w:p>
        </w:tc>
        <w:tc>
          <w:tcPr>
            <w:tcW w:w="3128" w:type="dxa"/>
            <w:vAlign w:val="center"/>
          </w:tcPr>
          <w:p w14:paraId="7C931C09">
            <w:pPr>
              <w:pStyle w:val="4"/>
              <w:snapToGrid w:val="0"/>
              <w:spacing w:line="400" w:lineRule="exact"/>
              <w:jc w:val="center"/>
              <w:outlineLvl w:val="0"/>
              <w:rPr>
                <w:rFonts w:hint="default" w:ascii="仿宋" w:hAnsi="仿宋"/>
                <w:color w:val="000000"/>
                <w:sz w:val="28"/>
              </w:rPr>
            </w:pPr>
            <w:r>
              <w:rPr>
                <w:rFonts w:ascii="仿宋" w:hAnsi="仿宋"/>
                <w:color w:val="000000"/>
                <w:sz w:val="24"/>
              </w:rPr>
              <w:t>供应商</w:t>
            </w:r>
          </w:p>
        </w:tc>
        <w:tc>
          <w:tcPr>
            <w:tcW w:w="1991" w:type="dxa"/>
            <w:vAlign w:val="center"/>
          </w:tcPr>
          <w:p w14:paraId="05103475">
            <w:pPr>
              <w:pStyle w:val="4"/>
              <w:snapToGrid w:val="0"/>
              <w:spacing w:line="400" w:lineRule="exact"/>
              <w:jc w:val="center"/>
              <w:outlineLvl w:val="0"/>
              <w:rPr>
                <w:rFonts w:hint="default" w:ascii="仿宋" w:hAnsi="仿宋"/>
                <w:color w:val="000000"/>
                <w:sz w:val="28"/>
              </w:rPr>
            </w:pPr>
            <w:r>
              <w:rPr>
                <w:rFonts w:ascii="仿宋" w:hAnsi="仿宋"/>
                <w:color w:val="000000"/>
                <w:sz w:val="24"/>
              </w:rPr>
              <w:t>投标总报价（元）</w:t>
            </w:r>
          </w:p>
        </w:tc>
        <w:tc>
          <w:tcPr>
            <w:tcW w:w="1623" w:type="dxa"/>
            <w:vAlign w:val="center"/>
          </w:tcPr>
          <w:p w14:paraId="23D54E8E">
            <w:pPr>
              <w:pStyle w:val="4"/>
              <w:snapToGrid w:val="0"/>
              <w:spacing w:line="400" w:lineRule="exact"/>
              <w:jc w:val="center"/>
              <w:outlineLvl w:val="0"/>
              <w:rPr>
                <w:rFonts w:hint="default" w:ascii="仿宋" w:hAnsi="仿宋"/>
                <w:color w:val="000000"/>
                <w:sz w:val="28"/>
              </w:rPr>
            </w:pPr>
            <w:r>
              <w:rPr>
                <w:rFonts w:ascii="仿宋" w:hAnsi="仿宋"/>
                <w:color w:val="000000"/>
                <w:sz w:val="24"/>
              </w:rPr>
              <w:t>最终得分</w:t>
            </w:r>
          </w:p>
        </w:tc>
        <w:tc>
          <w:tcPr>
            <w:tcW w:w="764" w:type="dxa"/>
            <w:vAlign w:val="center"/>
          </w:tcPr>
          <w:p w14:paraId="419DDE7B">
            <w:pPr>
              <w:pStyle w:val="4"/>
              <w:snapToGrid w:val="0"/>
              <w:spacing w:line="400" w:lineRule="exact"/>
              <w:jc w:val="center"/>
              <w:outlineLvl w:val="0"/>
              <w:rPr>
                <w:rFonts w:hint="default" w:ascii="仿宋" w:hAnsi="仿宋"/>
                <w:color w:val="000000"/>
                <w:sz w:val="28"/>
              </w:rPr>
            </w:pPr>
            <w:r>
              <w:rPr>
                <w:rFonts w:ascii="仿宋" w:hAnsi="仿宋"/>
                <w:color w:val="000000"/>
                <w:sz w:val="24"/>
              </w:rPr>
              <w:t>排序</w:t>
            </w:r>
          </w:p>
        </w:tc>
      </w:tr>
      <w:tr w14:paraId="2D1B4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tcPr>
          <w:p w14:paraId="2B7C9B9F">
            <w:pPr>
              <w:pStyle w:val="4"/>
              <w:snapToGrid w:val="0"/>
              <w:spacing w:line="400" w:lineRule="exact"/>
              <w:jc w:val="left"/>
              <w:outlineLvl w:val="0"/>
              <w:rPr>
                <w:rFonts w:hint="default" w:ascii="仿宋" w:hAnsi="仿宋"/>
                <w:color w:val="000000"/>
                <w:sz w:val="28"/>
              </w:rPr>
            </w:pPr>
            <w:r>
              <w:rPr>
                <w:rFonts w:ascii="仿宋" w:hAnsi="仿宋"/>
                <w:color w:val="000000"/>
                <w:sz w:val="24"/>
              </w:rPr>
              <w:t>1</w:t>
            </w:r>
          </w:p>
        </w:tc>
        <w:tc>
          <w:tcPr>
            <w:tcW w:w="3128" w:type="dxa"/>
            <w:vAlign w:val="center"/>
          </w:tcPr>
          <w:p w14:paraId="5410AEAC">
            <w:pPr>
              <w:pStyle w:val="4"/>
              <w:snapToGrid w:val="0"/>
              <w:spacing w:line="400" w:lineRule="exact"/>
              <w:jc w:val="left"/>
              <w:outlineLvl w:val="0"/>
              <w:rPr>
                <w:rFonts w:hint="default" w:ascii="仿宋" w:hAnsi="仿宋"/>
                <w:color w:val="000000"/>
                <w:sz w:val="28"/>
              </w:rPr>
            </w:pPr>
            <w:r>
              <w:rPr>
                <w:rFonts w:ascii="仿宋" w:hAnsi="仿宋"/>
                <w:color w:val="000000"/>
                <w:sz w:val="24"/>
              </w:rPr>
              <w:t>中移建设有限公司</w:t>
            </w:r>
          </w:p>
        </w:tc>
        <w:tc>
          <w:tcPr>
            <w:tcW w:w="1991" w:type="dxa"/>
            <w:vAlign w:val="center"/>
          </w:tcPr>
          <w:p w14:paraId="55D2C682">
            <w:pPr>
              <w:pStyle w:val="4"/>
              <w:snapToGrid w:val="0"/>
              <w:spacing w:line="400" w:lineRule="exact"/>
              <w:jc w:val="center"/>
              <w:outlineLvl w:val="0"/>
              <w:rPr>
                <w:rFonts w:hint="default" w:ascii="仿宋" w:hAnsi="仿宋"/>
                <w:color w:val="000000"/>
                <w:sz w:val="28"/>
              </w:rPr>
            </w:pPr>
            <w:r>
              <w:rPr>
                <w:rFonts w:ascii="仿宋" w:hAnsi="仿宋"/>
                <w:color w:val="000000"/>
                <w:sz w:val="24"/>
              </w:rPr>
              <w:t>3097522.5</w:t>
            </w:r>
          </w:p>
        </w:tc>
        <w:tc>
          <w:tcPr>
            <w:tcW w:w="1623" w:type="dxa"/>
            <w:vAlign w:val="center"/>
          </w:tcPr>
          <w:p w14:paraId="20B216B7">
            <w:pPr>
              <w:pStyle w:val="4"/>
              <w:snapToGrid w:val="0"/>
              <w:spacing w:line="400" w:lineRule="exact"/>
              <w:jc w:val="left"/>
              <w:outlineLvl w:val="0"/>
              <w:rPr>
                <w:rFonts w:hint="default" w:ascii="仿宋" w:hAnsi="仿宋"/>
                <w:color w:val="000000"/>
                <w:sz w:val="28"/>
              </w:rPr>
            </w:pPr>
            <w:r>
              <w:rPr>
                <w:rFonts w:ascii="仿宋" w:hAnsi="仿宋"/>
                <w:color w:val="000000"/>
                <w:sz w:val="24"/>
              </w:rPr>
              <w:t>96.09</w:t>
            </w:r>
          </w:p>
        </w:tc>
        <w:tc>
          <w:tcPr>
            <w:tcW w:w="764" w:type="dxa"/>
            <w:vAlign w:val="center"/>
          </w:tcPr>
          <w:p w14:paraId="301B915C">
            <w:pPr>
              <w:pStyle w:val="4"/>
              <w:snapToGrid w:val="0"/>
              <w:spacing w:line="400" w:lineRule="exact"/>
              <w:jc w:val="left"/>
              <w:outlineLvl w:val="0"/>
              <w:rPr>
                <w:rFonts w:hint="default" w:ascii="仿宋" w:hAnsi="仿宋"/>
                <w:color w:val="000000"/>
                <w:sz w:val="28"/>
              </w:rPr>
            </w:pPr>
            <w:r>
              <w:rPr>
                <w:rFonts w:ascii="仿宋" w:hAnsi="仿宋"/>
                <w:color w:val="000000"/>
                <w:sz w:val="24"/>
              </w:rPr>
              <w:t>1</w:t>
            </w:r>
          </w:p>
        </w:tc>
      </w:tr>
      <w:tr w14:paraId="7D686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tcPr>
          <w:p w14:paraId="52FE1E45">
            <w:pPr>
              <w:pStyle w:val="4"/>
              <w:snapToGrid w:val="0"/>
              <w:spacing w:line="400" w:lineRule="exact"/>
              <w:jc w:val="left"/>
              <w:outlineLvl w:val="0"/>
              <w:rPr>
                <w:rFonts w:hint="default" w:ascii="仿宋" w:hAnsi="仿宋"/>
                <w:color w:val="000000"/>
                <w:sz w:val="28"/>
              </w:rPr>
            </w:pPr>
            <w:r>
              <w:rPr>
                <w:rFonts w:ascii="仿宋" w:hAnsi="仿宋"/>
                <w:color w:val="000000"/>
                <w:sz w:val="24"/>
              </w:rPr>
              <w:t>2</w:t>
            </w:r>
          </w:p>
        </w:tc>
        <w:tc>
          <w:tcPr>
            <w:tcW w:w="3128" w:type="dxa"/>
            <w:vAlign w:val="center"/>
          </w:tcPr>
          <w:p w14:paraId="1C54DB18">
            <w:pPr>
              <w:pStyle w:val="4"/>
              <w:snapToGrid w:val="0"/>
              <w:spacing w:line="400" w:lineRule="exact"/>
              <w:jc w:val="left"/>
              <w:outlineLvl w:val="0"/>
              <w:rPr>
                <w:rFonts w:hint="default" w:ascii="仿宋" w:hAnsi="仿宋"/>
                <w:color w:val="000000"/>
                <w:sz w:val="28"/>
              </w:rPr>
            </w:pPr>
            <w:r>
              <w:rPr>
                <w:rFonts w:ascii="仿宋" w:hAnsi="仿宋"/>
                <w:color w:val="000000"/>
                <w:sz w:val="24"/>
              </w:rPr>
              <w:t>联通（河南）产业互联网有限公司</w:t>
            </w:r>
          </w:p>
        </w:tc>
        <w:tc>
          <w:tcPr>
            <w:tcW w:w="1991" w:type="dxa"/>
            <w:vAlign w:val="center"/>
          </w:tcPr>
          <w:p w14:paraId="441FFA19">
            <w:pPr>
              <w:pStyle w:val="4"/>
              <w:snapToGrid w:val="0"/>
              <w:spacing w:line="400" w:lineRule="exact"/>
              <w:jc w:val="center"/>
              <w:outlineLvl w:val="0"/>
              <w:rPr>
                <w:rFonts w:hint="default" w:ascii="仿宋" w:hAnsi="仿宋"/>
                <w:color w:val="000000"/>
                <w:sz w:val="28"/>
              </w:rPr>
            </w:pPr>
            <w:r>
              <w:rPr>
                <w:rFonts w:ascii="仿宋" w:hAnsi="仿宋"/>
                <w:color w:val="000000"/>
                <w:sz w:val="24"/>
              </w:rPr>
              <w:t>2982864.9</w:t>
            </w:r>
          </w:p>
        </w:tc>
        <w:tc>
          <w:tcPr>
            <w:tcW w:w="1623" w:type="dxa"/>
            <w:vAlign w:val="center"/>
          </w:tcPr>
          <w:p w14:paraId="231F3ABC">
            <w:pPr>
              <w:pStyle w:val="4"/>
              <w:snapToGrid w:val="0"/>
              <w:spacing w:line="400" w:lineRule="exact"/>
              <w:jc w:val="left"/>
              <w:outlineLvl w:val="0"/>
              <w:rPr>
                <w:rFonts w:hint="default" w:ascii="仿宋" w:hAnsi="仿宋"/>
                <w:color w:val="000000"/>
                <w:sz w:val="28"/>
              </w:rPr>
            </w:pPr>
            <w:r>
              <w:rPr>
                <w:rFonts w:ascii="仿宋" w:hAnsi="仿宋"/>
                <w:color w:val="000000"/>
                <w:sz w:val="24"/>
              </w:rPr>
              <w:t>94.40</w:t>
            </w:r>
          </w:p>
        </w:tc>
        <w:tc>
          <w:tcPr>
            <w:tcW w:w="764" w:type="dxa"/>
            <w:vAlign w:val="center"/>
          </w:tcPr>
          <w:p w14:paraId="16811292">
            <w:pPr>
              <w:pStyle w:val="4"/>
              <w:snapToGrid w:val="0"/>
              <w:spacing w:line="400" w:lineRule="exact"/>
              <w:jc w:val="left"/>
              <w:outlineLvl w:val="0"/>
              <w:rPr>
                <w:rFonts w:hint="default" w:ascii="仿宋" w:hAnsi="仿宋"/>
                <w:color w:val="000000"/>
                <w:sz w:val="28"/>
              </w:rPr>
            </w:pPr>
            <w:r>
              <w:rPr>
                <w:rFonts w:ascii="仿宋" w:hAnsi="仿宋"/>
                <w:color w:val="000000"/>
                <w:sz w:val="24"/>
              </w:rPr>
              <w:t>2</w:t>
            </w:r>
          </w:p>
        </w:tc>
      </w:tr>
      <w:tr w14:paraId="11630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tcPr>
          <w:p w14:paraId="0F0AE0CD">
            <w:pPr>
              <w:pStyle w:val="4"/>
              <w:snapToGrid w:val="0"/>
              <w:spacing w:line="400" w:lineRule="exact"/>
              <w:jc w:val="left"/>
              <w:outlineLvl w:val="0"/>
              <w:rPr>
                <w:rFonts w:hint="default" w:ascii="仿宋" w:hAnsi="仿宋"/>
                <w:color w:val="000000"/>
                <w:sz w:val="28"/>
              </w:rPr>
            </w:pPr>
            <w:r>
              <w:rPr>
                <w:rFonts w:ascii="仿宋" w:hAnsi="仿宋"/>
                <w:color w:val="000000"/>
                <w:sz w:val="24"/>
              </w:rPr>
              <w:t>3</w:t>
            </w:r>
          </w:p>
        </w:tc>
        <w:tc>
          <w:tcPr>
            <w:tcW w:w="3128" w:type="dxa"/>
            <w:vAlign w:val="center"/>
          </w:tcPr>
          <w:p w14:paraId="06E56F93">
            <w:pPr>
              <w:pStyle w:val="4"/>
              <w:snapToGrid w:val="0"/>
              <w:spacing w:line="400" w:lineRule="exact"/>
              <w:jc w:val="left"/>
              <w:outlineLvl w:val="0"/>
              <w:rPr>
                <w:rFonts w:hint="default" w:ascii="仿宋" w:hAnsi="仿宋"/>
                <w:color w:val="000000"/>
                <w:sz w:val="28"/>
              </w:rPr>
            </w:pPr>
            <w:r>
              <w:rPr>
                <w:rFonts w:ascii="仿宋" w:hAnsi="仿宋"/>
                <w:color w:val="000000"/>
                <w:sz w:val="24"/>
              </w:rPr>
              <w:t>河南企明星电子科技有限公司</w:t>
            </w:r>
          </w:p>
        </w:tc>
        <w:tc>
          <w:tcPr>
            <w:tcW w:w="1991" w:type="dxa"/>
            <w:vAlign w:val="center"/>
          </w:tcPr>
          <w:p w14:paraId="0D8D5246">
            <w:pPr>
              <w:pStyle w:val="4"/>
              <w:snapToGrid w:val="0"/>
              <w:spacing w:line="400" w:lineRule="exact"/>
              <w:jc w:val="center"/>
              <w:outlineLvl w:val="0"/>
              <w:rPr>
                <w:rFonts w:hint="default" w:ascii="仿宋" w:hAnsi="仿宋"/>
                <w:color w:val="000000"/>
                <w:sz w:val="28"/>
              </w:rPr>
            </w:pPr>
            <w:r>
              <w:rPr>
                <w:rFonts w:ascii="仿宋" w:hAnsi="仿宋"/>
                <w:color w:val="000000"/>
                <w:sz w:val="24"/>
              </w:rPr>
              <w:t>3115239.10</w:t>
            </w:r>
          </w:p>
        </w:tc>
        <w:tc>
          <w:tcPr>
            <w:tcW w:w="1623" w:type="dxa"/>
            <w:vAlign w:val="center"/>
          </w:tcPr>
          <w:p w14:paraId="7BB3F50A">
            <w:pPr>
              <w:pStyle w:val="4"/>
              <w:snapToGrid w:val="0"/>
              <w:spacing w:line="400" w:lineRule="exact"/>
              <w:jc w:val="left"/>
              <w:outlineLvl w:val="0"/>
              <w:rPr>
                <w:rFonts w:hint="default" w:ascii="仿宋" w:hAnsi="仿宋"/>
                <w:color w:val="000000"/>
                <w:sz w:val="28"/>
              </w:rPr>
            </w:pPr>
            <w:r>
              <w:rPr>
                <w:rFonts w:ascii="仿宋" w:hAnsi="仿宋"/>
                <w:color w:val="000000"/>
                <w:sz w:val="24"/>
              </w:rPr>
              <w:t>61.33</w:t>
            </w:r>
          </w:p>
        </w:tc>
        <w:tc>
          <w:tcPr>
            <w:tcW w:w="764" w:type="dxa"/>
            <w:vAlign w:val="center"/>
          </w:tcPr>
          <w:p w14:paraId="45F1F02C">
            <w:pPr>
              <w:pStyle w:val="4"/>
              <w:snapToGrid w:val="0"/>
              <w:spacing w:line="400" w:lineRule="exact"/>
              <w:jc w:val="left"/>
              <w:outlineLvl w:val="0"/>
              <w:rPr>
                <w:rFonts w:hint="default" w:ascii="仿宋" w:hAnsi="仿宋"/>
                <w:color w:val="000000"/>
                <w:sz w:val="28"/>
              </w:rPr>
            </w:pPr>
            <w:r>
              <w:rPr>
                <w:rFonts w:ascii="仿宋" w:hAnsi="仿宋"/>
                <w:color w:val="000000"/>
                <w:sz w:val="24"/>
              </w:rPr>
              <w:t>3</w:t>
            </w:r>
          </w:p>
        </w:tc>
      </w:tr>
      <w:tr w14:paraId="68977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tcPr>
          <w:p w14:paraId="613D576E">
            <w:pPr>
              <w:pStyle w:val="4"/>
              <w:snapToGrid w:val="0"/>
              <w:spacing w:line="400" w:lineRule="exact"/>
              <w:jc w:val="left"/>
              <w:outlineLvl w:val="0"/>
              <w:rPr>
                <w:rFonts w:hint="default" w:ascii="仿宋" w:hAnsi="仿宋"/>
                <w:color w:val="000000"/>
                <w:sz w:val="28"/>
              </w:rPr>
            </w:pPr>
            <w:r>
              <w:rPr>
                <w:rFonts w:ascii="仿宋" w:hAnsi="仿宋"/>
                <w:color w:val="000000"/>
                <w:sz w:val="24"/>
              </w:rPr>
              <w:t>4</w:t>
            </w:r>
          </w:p>
        </w:tc>
        <w:tc>
          <w:tcPr>
            <w:tcW w:w="3128" w:type="dxa"/>
            <w:vAlign w:val="center"/>
          </w:tcPr>
          <w:p w14:paraId="3DADF668">
            <w:pPr>
              <w:pStyle w:val="4"/>
              <w:snapToGrid w:val="0"/>
              <w:spacing w:line="400" w:lineRule="exact"/>
              <w:jc w:val="left"/>
              <w:outlineLvl w:val="0"/>
              <w:rPr>
                <w:rFonts w:hint="default" w:ascii="仿宋" w:hAnsi="仿宋"/>
                <w:color w:val="000000"/>
                <w:sz w:val="28"/>
              </w:rPr>
            </w:pPr>
            <w:bookmarkStart w:id="26" w:name="OLE_LINK9"/>
            <w:bookmarkStart w:id="27" w:name="OLE_LINK10"/>
            <w:r>
              <w:rPr>
                <w:rFonts w:ascii="仿宋" w:hAnsi="仿宋"/>
                <w:color w:val="000000"/>
                <w:sz w:val="24"/>
              </w:rPr>
              <w:t>河南云龙信息科技有限公司</w:t>
            </w:r>
            <w:bookmarkEnd w:id="26"/>
            <w:bookmarkEnd w:id="27"/>
          </w:p>
        </w:tc>
        <w:tc>
          <w:tcPr>
            <w:tcW w:w="1991" w:type="dxa"/>
            <w:vAlign w:val="center"/>
          </w:tcPr>
          <w:p w14:paraId="3635B3E0">
            <w:pPr>
              <w:pStyle w:val="4"/>
              <w:snapToGrid w:val="0"/>
              <w:spacing w:line="400" w:lineRule="exact"/>
              <w:jc w:val="center"/>
              <w:outlineLvl w:val="0"/>
              <w:rPr>
                <w:rFonts w:hint="default" w:ascii="仿宋" w:hAnsi="仿宋"/>
                <w:color w:val="000000"/>
                <w:sz w:val="28"/>
              </w:rPr>
            </w:pPr>
            <w:r>
              <w:rPr>
                <w:rFonts w:ascii="仿宋" w:hAnsi="仿宋"/>
                <w:color w:val="000000"/>
                <w:sz w:val="24"/>
              </w:rPr>
              <w:t>3057282</w:t>
            </w:r>
          </w:p>
        </w:tc>
        <w:tc>
          <w:tcPr>
            <w:tcW w:w="1623" w:type="dxa"/>
            <w:vAlign w:val="center"/>
          </w:tcPr>
          <w:p w14:paraId="61EF8066">
            <w:pPr>
              <w:pStyle w:val="4"/>
              <w:snapToGrid w:val="0"/>
              <w:spacing w:line="400" w:lineRule="exact"/>
              <w:jc w:val="left"/>
              <w:outlineLvl w:val="0"/>
              <w:rPr>
                <w:rFonts w:hint="default" w:ascii="仿宋" w:hAnsi="仿宋"/>
                <w:color w:val="000000"/>
                <w:sz w:val="28"/>
              </w:rPr>
            </w:pPr>
            <w:r>
              <w:rPr>
                <w:rFonts w:ascii="仿宋" w:hAnsi="仿宋"/>
                <w:color w:val="000000"/>
                <w:sz w:val="24"/>
              </w:rPr>
              <w:t>61.27</w:t>
            </w:r>
          </w:p>
        </w:tc>
        <w:tc>
          <w:tcPr>
            <w:tcW w:w="764" w:type="dxa"/>
            <w:vAlign w:val="center"/>
          </w:tcPr>
          <w:p w14:paraId="262CC817">
            <w:pPr>
              <w:pStyle w:val="4"/>
              <w:snapToGrid w:val="0"/>
              <w:spacing w:line="400" w:lineRule="exact"/>
              <w:jc w:val="left"/>
              <w:outlineLvl w:val="0"/>
              <w:rPr>
                <w:rFonts w:hint="default" w:ascii="仿宋" w:hAnsi="仿宋"/>
                <w:color w:val="000000"/>
                <w:sz w:val="28"/>
              </w:rPr>
            </w:pPr>
            <w:r>
              <w:rPr>
                <w:rFonts w:ascii="仿宋" w:hAnsi="仿宋"/>
                <w:color w:val="000000"/>
                <w:sz w:val="24"/>
              </w:rPr>
              <w:t>4</w:t>
            </w:r>
          </w:p>
        </w:tc>
      </w:tr>
      <w:tr w14:paraId="789B3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tcPr>
          <w:p w14:paraId="5E3334F2">
            <w:pPr>
              <w:pStyle w:val="4"/>
              <w:snapToGrid w:val="0"/>
              <w:spacing w:line="400" w:lineRule="exact"/>
              <w:jc w:val="left"/>
              <w:outlineLvl w:val="0"/>
              <w:rPr>
                <w:rFonts w:hint="default" w:ascii="仿宋" w:hAnsi="仿宋"/>
                <w:color w:val="000000"/>
                <w:sz w:val="28"/>
              </w:rPr>
            </w:pPr>
            <w:r>
              <w:rPr>
                <w:rFonts w:ascii="仿宋" w:hAnsi="仿宋"/>
                <w:color w:val="000000"/>
                <w:sz w:val="24"/>
              </w:rPr>
              <w:t>5</w:t>
            </w:r>
          </w:p>
        </w:tc>
        <w:tc>
          <w:tcPr>
            <w:tcW w:w="3128" w:type="dxa"/>
            <w:vAlign w:val="center"/>
          </w:tcPr>
          <w:p w14:paraId="0D3F787C">
            <w:pPr>
              <w:pStyle w:val="4"/>
              <w:snapToGrid w:val="0"/>
              <w:spacing w:line="400" w:lineRule="exact"/>
              <w:jc w:val="left"/>
              <w:outlineLvl w:val="0"/>
              <w:rPr>
                <w:rFonts w:hint="default" w:ascii="仿宋" w:hAnsi="仿宋"/>
                <w:color w:val="000000"/>
                <w:sz w:val="28"/>
              </w:rPr>
            </w:pPr>
            <w:r>
              <w:rPr>
                <w:rFonts w:ascii="仿宋" w:hAnsi="仿宋"/>
                <w:color w:val="000000"/>
                <w:sz w:val="24"/>
              </w:rPr>
              <w:t>南京数源鑫和科技有限公司</w:t>
            </w:r>
          </w:p>
        </w:tc>
        <w:tc>
          <w:tcPr>
            <w:tcW w:w="1991" w:type="dxa"/>
            <w:vAlign w:val="center"/>
          </w:tcPr>
          <w:p w14:paraId="70DF036A">
            <w:pPr>
              <w:pStyle w:val="4"/>
              <w:snapToGrid w:val="0"/>
              <w:spacing w:line="400" w:lineRule="exact"/>
              <w:jc w:val="center"/>
              <w:outlineLvl w:val="0"/>
              <w:rPr>
                <w:rFonts w:hint="default" w:ascii="仿宋" w:hAnsi="仿宋"/>
                <w:color w:val="000000"/>
                <w:sz w:val="28"/>
              </w:rPr>
            </w:pPr>
            <w:r>
              <w:rPr>
                <w:rFonts w:ascii="仿宋" w:hAnsi="仿宋"/>
                <w:color w:val="000000"/>
                <w:sz w:val="24"/>
              </w:rPr>
              <w:t>3100000</w:t>
            </w:r>
          </w:p>
        </w:tc>
        <w:tc>
          <w:tcPr>
            <w:tcW w:w="1623" w:type="dxa"/>
            <w:vAlign w:val="center"/>
          </w:tcPr>
          <w:p w14:paraId="788F4B7C">
            <w:pPr>
              <w:pStyle w:val="4"/>
              <w:snapToGrid w:val="0"/>
              <w:spacing w:line="400" w:lineRule="exact"/>
              <w:jc w:val="left"/>
              <w:outlineLvl w:val="0"/>
              <w:rPr>
                <w:rFonts w:hint="default" w:ascii="仿宋" w:hAnsi="仿宋"/>
                <w:color w:val="000000"/>
                <w:sz w:val="28"/>
              </w:rPr>
            </w:pPr>
            <w:r>
              <w:rPr>
                <w:rFonts w:ascii="仿宋" w:hAnsi="仿宋"/>
                <w:color w:val="000000"/>
                <w:sz w:val="24"/>
              </w:rPr>
              <w:t>51.87</w:t>
            </w:r>
          </w:p>
        </w:tc>
        <w:tc>
          <w:tcPr>
            <w:tcW w:w="764" w:type="dxa"/>
            <w:vAlign w:val="center"/>
          </w:tcPr>
          <w:p w14:paraId="1EC531AB">
            <w:pPr>
              <w:pStyle w:val="4"/>
              <w:snapToGrid w:val="0"/>
              <w:spacing w:line="400" w:lineRule="exact"/>
              <w:jc w:val="left"/>
              <w:outlineLvl w:val="0"/>
              <w:rPr>
                <w:rFonts w:hint="default" w:ascii="仿宋" w:hAnsi="仿宋"/>
                <w:color w:val="000000"/>
                <w:sz w:val="28"/>
              </w:rPr>
            </w:pPr>
            <w:r>
              <w:rPr>
                <w:rFonts w:ascii="仿宋" w:hAnsi="仿宋"/>
                <w:color w:val="000000"/>
                <w:sz w:val="24"/>
              </w:rPr>
              <w:t>5</w:t>
            </w:r>
          </w:p>
        </w:tc>
      </w:tr>
    </w:tbl>
    <w:p w14:paraId="55A265E2">
      <w:pPr>
        <w:pStyle w:val="4"/>
        <w:snapToGrid w:val="0"/>
        <w:spacing w:line="400" w:lineRule="exact"/>
        <w:jc w:val="left"/>
        <w:outlineLvl w:val="0"/>
        <w:rPr>
          <w:rFonts w:hint="default" w:ascii="仿宋" w:hAnsi="仿宋"/>
          <w:color w:val="000000"/>
          <w:sz w:val="28"/>
        </w:rPr>
      </w:pPr>
      <w:bookmarkStart w:id="31" w:name="_GoBack"/>
      <w:bookmarkEnd w:id="31"/>
    </w:p>
    <w:p w14:paraId="2235DA4D">
      <w:pPr>
        <w:pStyle w:val="4"/>
        <w:snapToGrid w:val="0"/>
        <w:spacing w:line="400" w:lineRule="exact"/>
        <w:ind w:firstLine="420"/>
        <w:rPr>
          <w:rFonts w:hint="default" w:ascii="仿宋" w:hAnsi="仿宋"/>
          <w:color w:val="000000"/>
          <w:sz w:val="28"/>
        </w:rPr>
      </w:pPr>
      <w:r>
        <w:rPr>
          <w:rFonts w:ascii="仿宋" w:hAnsi="仿宋"/>
          <w:color w:val="000000"/>
          <w:sz w:val="28"/>
        </w:rPr>
        <w:t>6、推荐的中标（或成交）候选人 现排序如下：</w:t>
      </w:r>
    </w:p>
    <w:p w14:paraId="50C92BF3">
      <w:pPr>
        <w:pStyle w:val="4"/>
        <w:snapToGrid w:val="0"/>
        <w:spacing w:line="400" w:lineRule="exact"/>
        <w:ind w:firstLine="560" w:firstLineChars="200"/>
        <w:rPr>
          <w:rFonts w:hint="default" w:ascii="宋体" w:hAnsi="宋体" w:cs="宋体"/>
          <w:color w:val="000000"/>
          <w:sz w:val="28"/>
        </w:rPr>
      </w:pPr>
      <w:r>
        <w:rPr>
          <w:rFonts w:ascii="宋体" w:hAnsi="宋体" w:cs="宋体"/>
          <w:color w:val="000000"/>
          <w:sz w:val="28"/>
        </w:rPr>
        <w:t xml:space="preserve"> 第1候选人：中移建设有限公司</w:t>
      </w:r>
    </w:p>
    <w:p w14:paraId="023BE693">
      <w:pPr>
        <w:pStyle w:val="4"/>
        <w:snapToGrid w:val="0"/>
        <w:spacing w:line="400" w:lineRule="exact"/>
        <w:ind w:firstLine="560" w:firstLineChars="200"/>
        <w:rPr>
          <w:rFonts w:ascii="宋体" w:hAnsi="宋体" w:cs="宋体"/>
          <w:color w:val="000000"/>
          <w:sz w:val="28"/>
        </w:rPr>
      </w:pPr>
      <w:r>
        <w:rPr>
          <w:rFonts w:ascii="宋体" w:hAnsi="宋体" w:cs="宋体"/>
          <w:color w:val="000000"/>
          <w:sz w:val="28"/>
        </w:rPr>
        <w:t xml:space="preserve"> 第2候选人：河南企明星电子科技有限公司</w:t>
      </w:r>
    </w:p>
    <w:p w14:paraId="19EF13CA">
      <w:pPr>
        <w:pStyle w:val="4"/>
        <w:snapToGrid w:val="0"/>
        <w:spacing w:line="400" w:lineRule="exact"/>
        <w:ind w:firstLine="560" w:firstLineChars="200"/>
        <w:rPr>
          <w:rFonts w:hint="default" w:ascii="宋体" w:hAnsi="宋体" w:cs="宋体"/>
          <w:color w:val="000000"/>
          <w:sz w:val="28"/>
        </w:rPr>
      </w:pPr>
      <w:r>
        <w:rPr>
          <w:rFonts w:ascii="宋体" w:hAnsi="宋体" w:cs="宋体"/>
          <w:color w:val="000000"/>
          <w:sz w:val="28"/>
        </w:rPr>
        <w:t xml:space="preserve"> 第3候选人：</w:t>
      </w:r>
      <w:bookmarkStart w:id="28" w:name="OLE_LINK7"/>
      <w:bookmarkStart w:id="29" w:name="OLE_LINK8"/>
      <w:r>
        <w:rPr>
          <w:rFonts w:ascii="宋体" w:hAnsi="宋体" w:cs="宋体"/>
          <w:color w:val="000000"/>
          <w:sz w:val="28"/>
        </w:rPr>
        <w:t>河南云龙信息科技有限公司</w:t>
      </w:r>
    </w:p>
    <w:bookmarkEnd w:id="28"/>
    <w:bookmarkEnd w:id="29"/>
    <w:p w14:paraId="7802B1CA">
      <w:pPr>
        <w:pStyle w:val="4"/>
        <w:snapToGrid w:val="0"/>
        <w:spacing w:line="400" w:lineRule="exact"/>
        <w:ind w:firstLine="280" w:firstLineChars="100"/>
        <w:rPr>
          <w:rFonts w:hint="default" w:ascii="仿宋" w:hAnsi="仿宋"/>
          <w:color w:val="000000"/>
          <w:sz w:val="28"/>
        </w:rPr>
      </w:pPr>
      <w:bookmarkStart w:id="30" w:name="中标供应商1"/>
      <w:bookmarkEnd w:id="30"/>
      <w:r>
        <w:rPr>
          <w:rFonts w:ascii="仿宋" w:hAnsi="仿宋"/>
          <w:color w:val="000000"/>
          <w:sz w:val="28"/>
        </w:rPr>
        <w:t>7</w:t>
      </w:r>
      <w:r>
        <w:rPr>
          <w:rFonts w:ascii="宋体" w:hAnsi="宋体" w:cs="宋体"/>
          <w:color w:val="000000"/>
          <w:sz w:val="28"/>
        </w:rPr>
        <w:t>、其他需说明的评审情况：</w:t>
      </w:r>
      <w:r>
        <w:rPr>
          <w:rFonts w:ascii="仿宋" w:hAnsi="仿宋"/>
          <w:color w:val="000000"/>
          <w:kern w:val="0"/>
          <w:sz w:val="28"/>
          <w:u w:val="single"/>
        </w:rPr>
        <w:t>无</w:t>
      </w:r>
    </w:p>
    <w:p w14:paraId="1543BB6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0000000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606467"/>
    <w:rsid w:val="349302CD"/>
    <w:rsid w:val="39606467"/>
    <w:rsid w:val="6CC00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正常1"/>
    <w:qFormat/>
    <w:uiPriority w:val="0"/>
    <w:pPr>
      <w:widowControl w:val="0"/>
      <w:jc w:val="both"/>
    </w:pPr>
    <w:rPr>
      <w:rFonts w:hint="eastAsia"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2</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2026-07-29T08:29:00Z</dcterms:created>
  <dc:creator>我是非洲人儿</dc:creator>
  <cp:lastModifiedBy>我是非洲人儿</cp:lastModifiedBy>
  <dcterms:modified xsi:type="dcterms:W3CDTF">2026-07-29T08:42:40Z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6F3990D287AA40A1A184474494C01CE7_11</vt:lpwstr>
  </property>
  <property fmtid="{D5CDD505-2E9C-101B-9397-08002B2CF9AE}" pid="4" name="KSOTemplateDocerSaveRecord">
    <vt:lpwstr>eyJoZGlkIjoiMWMwZDhmZDk3YjBlMDQ5MDc0ODBhOTRlMzAyMTdmMzciLCJ1c2VySWQiOiI2NjMwMDc2NDEifQ==</vt:lpwstr>
  </property>
</Properties>
</file>