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8FE" w:rsidRDefault="00B338FE">
      <w:pPr>
        <w:jc w:val="center"/>
        <w:rPr>
          <w:rFonts w:ascii="宋体" w:hAnsi="宋体"/>
          <w:sz w:val="44"/>
          <w:szCs w:val="44"/>
        </w:rPr>
      </w:pPr>
    </w:p>
    <w:p w:rsidR="00B338FE" w:rsidRDefault="00B338FE">
      <w:pPr>
        <w:jc w:val="center"/>
        <w:rPr>
          <w:rFonts w:ascii="宋体" w:hAnsi="宋体"/>
          <w:sz w:val="44"/>
          <w:szCs w:val="44"/>
        </w:rPr>
      </w:pPr>
    </w:p>
    <w:p w:rsidR="00B338FE" w:rsidRDefault="00B11729">
      <w:pPr>
        <w:jc w:val="center"/>
        <w:rPr>
          <w:rFonts w:ascii="宋体" w:hAnsi="宋体"/>
          <w:sz w:val="44"/>
          <w:szCs w:val="44"/>
        </w:rPr>
      </w:pPr>
      <w:r>
        <w:rPr>
          <w:rFonts w:ascii="宋体" w:hAnsi="宋体"/>
          <w:sz w:val="44"/>
          <w:szCs w:val="44"/>
        </w:rPr>
        <w:t>三门峡市</w:t>
      </w:r>
      <w:r>
        <w:rPr>
          <w:rFonts w:ascii="宋体" w:hAnsi="宋体" w:hint="eastAsia"/>
          <w:sz w:val="44"/>
          <w:szCs w:val="44"/>
        </w:rPr>
        <w:t>2022年水质自动站运维项目招标文件</w:t>
      </w:r>
    </w:p>
    <w:p w:rsidR="00B338FE" w:rsidRDefault="00B338FE">
      <w:pPr>
        <w:pStyle w:val="2"/>
        <w:sectPr w:rsidR="00B338FE">
          <w:headerReference w:type="default" r:id="rId9"/>
          <w:footerReference w:type="default" r:id="rId10"/>
          <w:footerReference w:type="first" r:id="rId11"/>
          <w:pgSz w:w="11905" w:h="16837"/>
          <w:pgMar w:top="1418" w:right="1106" w:bottom="1418" w:left="1418" w:header="567" w:footer="567" w:gutter="0"/>
          <w:pgNumType w:fmt="numberInDash" w:start="0"/>
          <w:cols w:space="720"/>
          <w:titlePg/>
        </w:sectPr>
      </w:pPr>
    </w:p>
    <w:p w:rsidR="00B338FE" w:rsidRDefault="00B11729">
      <w:pPr>
        <w:widowControl w:val="0"/>
        <w:snapToGrid w:val="0"/>
        <w:spacing w:line="360" w:lineRule="auto"/>
        <w:jc w:val="center"/>
        <w:outlineLvl w:val="0"/>
        <w:rPr>
          <w:rFonts w:eastAsia="方正黑体简体"/>
          <w:color w:val="auto"/>
          <w:sz w:val="36"/>
          <w:szCs w:val="36"/>
        </w:rPr>
      </w:pPr>
      <w:bookmarkStart w:id="0" w:name="_Toc98489236"/>
      <w:r>
        <w:rPr>
          <w:rFonts w:eastAsia="黑体" w:cs="黑体" w:hint="eastAsia"/>
          <w:b/>
          <w:bCs/>
          <w:color w:val="auto"/>
          <w:sz w:val="36"/>
          <w:szCs w:val="36"/>
        </w:rPr>
        <w:lastRenderedPageBreak/>
        <w:t>第一章</w:t>
      </w:r>
      <w:r>
        <w:rPr>
          <w:rFonts w:eastAsia="黑体"/>
          <w:b/>
          <w:bCs/>
          <w:color w:val="auto"/>
          <w:sz w:val="36"/>
          <w:szCs w:val="36"/>
        </w:rPr>
        <w:t xml:space="preserve">  </w:t>
      </w:r>
      <w:r>
        <w:rPr>
          <w:rFonts w:eastAsia="黑体" w:cs="黑体" w:hint="eastAsia"/>
          <w:b/>
          <w:bCs/>
          <w:color w:val="auto"/>
          <w:sz w:val="36"/>
          <w:szCs w:val="36"/>
        </w:rPr>
        <w:t>招标项目采购需求及</w:t>
      </w:r>
      <w:bookmarkEnd w:id="0"/>
      <w:r>
        <w:rPr>
          <w:rFonts w:eastAsia="黑体" w:cs="黑体" w:hint="eastAsia"/>
          <w:b/>
          <w:bCs/>
          <w:color w:val="auto"/>
          <w:sz w:val="36"/>
          <w:szCs w:val="36"/>
        </w:rPr>
        <w:t>技术要求</w:t>
      </w:r>
    </w:p>
    <w:p w:rsidR="00B338FE" w:rsidRDefault="00B338FE">
      <w:pPr>
        <w:widowControl w:val="0"/>
        <w:snapToGrid w:val="0"/>
        <w:spacing w:line="360" w:lineRule="auto"/>
        <w:jc w:val="center"/>
        <w:rPr>
          <w:b/>
          <w:bCs/>
          <w:color w:val="auto"/>
          <w:sz w:val="28"/>
          <w:szCs w:val="28"/>
        </w:rPr>
      </w:pPr>
    </w:p>
    <w:p w:rsidR="00B338FE" w:rsidRPr="003E2765" w:rsidRDefault="00A21AB4" w:rsidP="003E2765">
      <w:pPr>
        <w:widowControl w:val="0"/>
        <w:snapToGrid w:val="0"/>
        <w:spacing w:line="360" w:lineRule="auto"/>
        <w:ind w:firstLineChars="150" w:firstLine="422"/>
        <w:jc w:val="left"/>
        <w:outlineLvl w:val="1"/>
        <w:rPr>
          <w:rFonts w:ascii="黑体" w:eastAsia="黑体" w:hAnsi="黑体"/>
          <w:b/>
          <w:bCs/>
          <w:color w:val="auto"/>
          <w:sz w:val="28"/>
          <w:szCs w:val="28"/>
        </w:rPr>
      </w:pPr>
      <w:bookmarkStart w:id="1" w:name="_Toc98489237"/>
      <w:r>
        <w:rPr>
          <w:rFonts w:ascii="黑体" w:eastAsia="黑体" w:hAnsi="黑体" w:cs="黑体"/>
          <w:b/>
          <w:bCs/>
          <w:color w:val="auto"/>
          <w:sz w:val="28"/>
          <w:szCs w:val="28"/>
        </w:rPr>
        <w:t>一</w:t>
      </w:r>
      <w:r w:rsidR="00B11729" w:rsidRPr="003E2765">
        <w:rPr>
          <w:rFonts w:ascii="黑体" w:eastAsia="黑体" w:hAnsi="黑体" w:cs="黑体"/>
          <w:b/>
          <w:bCs/>
          <w:color w:val="auto"/>
          <w:sz w:val="28"/>
          <w:szCs w:val="28"/>
        </w:rPr>
        <w:t xml:space="preserve">. </w:t>
      </w:r>
      <w:bookmarkEnd w:id="1"/>
      <w:r w:rsidR="00B11729" w:rsidRPr="003E2765">
        <w:rPr>
          <w:rFonts w:ascii="黑体" w:eastAsia="黑体" w:hAnsi="黑体" w:cs="黑体" w:hint="eastAsia"/>
          <w:b/>
          <w:bCs/>
          <w:color w:val="auto"/>
          <w:sz w:val="28"/>
          <w:szCs w:val="28"/>
        </w:rPr>
        <w:t>采购需求</w:t>
      </w:r>
    </w:p>
    <w:p w:rsidR="00A21AB4" w:rsidRPr="00A21AB4" w:rsidRDefault="00C3359C" w:rsidP="00A21AB4">
      <w:pPr>
        <w:widowControl w:val="0"/>
        <w:snapToGrid w:val="0"/>
        <w:spacing w:line="360" w:lineRule="auto"/>
        <w:ind w:firstLineChars="200" w:firstLine="562"/>
        <w:jc w:val="left"/>
        <w:rPr>
          <w:rFonts w:ascii="黑体" w:eastAsia="黑体" w:hAnsi="黑体" w:cs="黑体"/>
          <w:b/>
          <w:bCs/>
          <w:color w:val="auto"/>
          <w:sz w:val="28"/>
          <w:szCs w:val="28"/>
        </w:rPr>
      </w:pPr>
      <w:r>
        <w:rPr>
          <w:rFonts w:ascii="黑体" w:eastAsia="黑体" w:hAnsi="黑体" w:cs="黑体" w:hint="eastAsia"/>
          <w:b/>
          <w:bCs/>
          <w:color w:val="auto"/>
          <w:sz w:val="28"/>
          <w:szCs w:val="28"/>
        </w:rPr>
        <w:t>（一）</w:t>
      </w:r>
      <w:r w:rsidR="00A21AB4" w:rsidRPr="00A21AB4">
        <w:rPr>
          <w:rFonts w:ascii="黑体" w:eastAsia="黑体" w:hAnsi="黑体" w:cs="黑体" w:hint="eastAsia"/>
          <w:b/>
          <w:bCs/>
          <w:color w:val="auto"/>
          <w:sz w:val="28"/>
          <w:szCs w:val="28"/>
        </w:rPr>
        <w:t>招标项目名称</w:t>
      </w:r>
    </w:p>
    <w:p w:rsidR="00B338FE" w:rsidRPr="003E2765" w:rsidRDefault="00B11729" w:rsidP="00A21AB4">
      <w:pPr>
        <w:widowControl w:val="0"/>
        <w:adjustRightInd w:val="0"/>
        <w:snapToGrid w:val="0"/>
        <w:spacing w:line="360" w:lineRule="auto"/>
        <w:ind w:firstLineChars="200" w:firstLine="560"/>
        <w:jc w:val="left"/>
        <w:rPr>
          <w:rFonts w:cs="宋体"/>
          <w:color w:val="auto"/>
          <w:sz w:val="28"/>
          <w:szCs w:val="28"/>
        </w:rPr>
      </w:pPr>
      <w:r w:rsidRPr="003E2765">
        <w:rPr>
          <w:rFonts w:cs="宋体" w:hint="eastAsia"/>
          <w:color w:val="auto"/>
          <w:sz w:val="28"/>
          <w:szCs w:val="28"/>
        </w:rPr>
        <w:t>三门峡市</w:t>
      </w:r>
      <w:r w:rsidRPr="003E2765">
        <w:rPr>
          <w:rFonts w:cs="宋体" w:hint="eastAsia"/>
          <w:color w:val="auto"/>
          <w:sz w:val="28"/>
          <w:szCs w:val="28"/>
        </w:rPr>
        <w:t>2022</w:t>
      </w:r>
      <w:r w:rsidRPr="003E2765">
        <w:rPr>
          <w:rFonts w:cs="宋体" w:hint="eastAsia"/>
          <w:color w:val="auto"/>
          <w:sz w:val="28"/>
          <w:szCs w:val="28"/>
        </w:rPr>
        <w:t>年水质自动站运维项目</w:t>
      </w:r>
    </w:p>
    <w:p w:rsidR="00B338FE" w:rsidRPr="003E2765" w:rsidRDefault="00C3359C" w:rsidP="00A21AB4">
      <w:pPr>
        <w:widowControl w:val="0"/>
        <w:snapToGrid w:val="0"/>
        <w:spacing w:line="360" w:lineRule="auto"/>
        <w:ind w:firstLineChars="200" w:firstLine="562"/>
        <w:jc w:val="left"/>
        <w:rPr>
          <w:rFonts w:cs="宋体"/>
          <w:color w:val="auto"/>
          <w:sz w:val="28"/>
          <w:szCs w:val="28"/>
        </w:rPr>
      </w:pPr>
      <w:r>
        <w:rPr>
          <w:rFonts w:ascii="黑体" w:eastAsia="黑体" w:hAnsi="黑体" w:cs="黑体" w:hint="eastAsia"/>
          <w:b/>
          <w:bCs/>
          <w:color w:val="auto"/>
          <w:sz w:val="28"/>
          <w:szCs w:val="28"/>
        </w:rPr>
        <w:t>（二）</w:t>
      </w:r>
      <w:r w:rsidR="00B11729" w:rsidRPr="003E2765">
        <w:rPr>
          <w:rFonts w:ascii="黑体" w:eastAsia="黑体" w:hAnsi="黑体" w:cs="黑体" w:hint="eastAsia"/>
          <w:b/>
          <w:bCs/>
          <w:color w:val="auto"/>
          <w:sz w:val="28"/>
          <w:szCs w:val="28"/>
        </w:rPr>
        <w:t>项目内容</w:t>
      </w:r>
      <w:r w:rsidR="00B11729" w:rsidRPr="003E2765">
        <w:rPr>
          <w:rFonts w:cs="宋体" w:hint="eastAsia"/>
          <w:color w:val="auto"/>
          <w:sz w:val="28"/>
          <w:szCs w:val="28"/>
        </w:rPr>
        <w:t>：</w:t>
      </w:r>
    </w:p>
    <w:p w:rsidR="00B338FE" w:rsidRPr="003E2765" w:rsidRDefault="00B11729" w:rsidP="003E2765">
      <w:pPr>
        <w:widowControl w:val="0"/>
        <w:adjustRightInd w:val="0"/>
        <w:snapToGrid w:val="0"/>
        <w:spacing w:line="300" w:lineRule="auto"/>
        <w:ind w:firstLineChars="200" w:firstLine="560"/>
        <w:rPr>
          <w:rFonts w:cs="宋体"/>
          <w:color w:val="auto"/>
          <w:sz w:val="28"/>
          <w:szCs w:val="28"/>
        </w:rPr>
      </w:pPr>
      <w:r w:rsidRPr="003E2765">
        <w:rPr>
          <w:rFonts w:cs="宋体" w:hint="eastAsia"/>
          <w:color w:val="auto"/>
          <w:sz w:val="28"/>
          <w:szCs w:val="28"/>
        </w:rPr>
        <w:t>中标人负责三门峡市</w:t>
      </w:r>
      <w:r w:rsidRPr="003E2765">
        <w:rPr>
          <w:color w:val="auto"/>
          <w:sz w:val="28"/>
          <w:szCs w:val="28"/>
        </w:rPr>
        <w:t>2</w:t>
      </w:r>
      <w:r w:rsidRPr="003E2765">
        <w:rPr>
          <w:rFonts w:cs="宋体" w:hint="eastAsia"/>
          <w:color w:val="auto"/>
          <w:sz w:val="28"/>
          <w:szCs w:val="28"/>
        </w:rPr>
        <w:t>个地表水自动监测站（站房、采水设施、仪器及设备等）的日常运行维护、质量控制与质量保证、数据审核、相关报告等；配合采购人开展水站固定资产管理并定期完成水站资产清点工作；接受采购人对运维和数据质量的监督，配合开展质量检查工作。负责站点的保养维修费、水费、电费、光纤费等相关费用的支付。</w:t>
      </w:r>
      <w:r w:rsidR="00FD1067">
        <w:rPr>
          <w:rFonts w:cs="宋体" w:hint="eastAsia"/>
          <w:color w:val="auto"/>
          <w:sz w:val="28"/>
          <w:szCs w:val="28"/>
        </w:rPr>
        <w:t>将</w:t>
      </w:r>
      <w:r w:rsidR="00FD1067">
        <w:rPr>
          <w:rFonts w:cs="宋体" w:hint="eastAsia"/>
          <w:color w:val="auto"/>
          <w:sz w:val="28"/>
          <w:szCs w:val="28"/>
        </w:rPr>
        <w:t>2</w:t>
      </w:r>
      <w:r w:rsidR="00FD1067">
        <w:rPr>
          <w:rFonts w:cs="宋体" w:hint="eastAsia"/>
          <w:color w:val="auto"/>
          <w:sz w:val="28"/>
          <w:szCs w:val="28"/>
        </w:rPr>
        <w:t>个</w:t>
      </w:r>
      <w:r w:rsidR="00FD1067" w:rsidRPr="003E2765">
        <w:rPr>
          <w:rFonts w:cs="宋体" w:hint="eastAsia"/>
          <w:color w:val="auto"/>
          <w:sz w:val="28"/>
          <w:szCs w:val="28"/>
        </w:rPr>
        <w:t>地表水自动监测站</w:t>
      </w:r>
      <w:r w:rsidR="00FD1067">
        <w:rPr>
          <w:rFonts w:cs="宋体" w:hint="eastAsia"/>
          <w:color w:val="auto"/>
          <w:sz w:val="28"/>
          <w:szCs w:val="28"/>
        </w:rPr>
        <w:t>的站点视频传送至招标方</w:t>
      </w:r>
      <w:r w:rsidR="00192E2C">
        <w:rPr>
          <w:rFonts w:cs="宋体" w:hint="eastAsia"/>
          <w:color w:val="auto"/>
          <w:sz w:val="28"/>
          <w:szCs w:val="28"/>
        </w:rPr>
        <w:t>指定</w:t>
      </w:r>
      <w:r w:rsidR="00FD1067">
        <w:rPr>
          <w:rFonts w:cs="宋体" w:hint="eastAsia"/>
          <w:color w:val="auto"/>
          <w:sz w:val="28"/>
          <w:szCs w:val="28"/>
        </w:rPr>
        <w:t>平台。</w:t>
      </w:r>
      <w:r w:rsidR="005B4EEB" w:rsidRPr="005B4EEB">
        <w:rPr>
          <w:rFonts w:cs="宋体" w:hint="eastAsia"/>
          <w:color w:val="auto"/>
          <w:sz w:val="28"/>
          <w:szCs w:val="28"/>
        </w:rPr>
        <w:t>中标单位负责运维人员的人身安全，在运维开展过程中出现的安全问题由中标单位负责，甲方不予负责，无责任连带关系。</w:t>
      </w:r>
    </w:p>
    <w:p w:rsidR="00B338FE" w:rsidRDefault="00B11729">
      <w:pPr>
        <w:widowControl w:val="0"/>
        <w:adjustRightInd w:val="0"/>
        <w:snapToGrid w:val="0"/>
        <w:spacing w:line="300" w:lineRule="auto"/>
        <w:jc w:val="center"/>
        <w:rPr>
          <w:rFonts w:cs="宋体"/>
          <w:color w:val="auto"/>
          <w:sz w:val="24"/>
          <w:szCs w:val="24"/>
        </w:rPr>
      </w:pPr>
      <w:r>
        <w:rPr>
          <w:rFonts w:cs="宋体" w:hint="eastAsia"/>
          <w:color w:val="auto"/>
          <w:sz w:val="24"/>
          <w:szCs w:val="24"/>
        </w:rPr>
        <w:t>站点基本情况</w:t>
      </w:r>
    </w:p>
    <w:tbl>
      <w:tblPr>
        <w:tblW w:w="48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8"/>
        <w:gridCol w:w="1966"/>
        <w:gridCol w:w="6316"/>
      </w:tblGrid>
      <w:tr w:rsidR="00B338FE">
        <w:trPr>
          <w:trHeight w:val="430"/>
          <w:jc w:val="center"/>
        </w:trPr>
        <w:tc>
          <w:tcPr>
            <w:tcW w:w="518" w:type="pct"/>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Ansi="宋体" w:cs="宋体" w:hint="eastAsia"/>
                <w:color w:val="auto"/>
                <w:sz w:val="24"/>
                <w:szCs w:val="24"/>
              </w:rPr>
              <w:t>序号</w:t>
            </w:r>
          </w:p>
        </w:tc>
        <w:tc>
          <w:tcPr>
            <w:tcW w:w="1064" w:type="pct"/>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Ansi="宋体" w:cs="宋体" w:hint="eastAsia"/>
                <w:color w:val="auto"/>
                <w:sz w:val="24"/>
                <w:szCs w:val="24"/>
              </w:rPr>
              <w:t>断面名称</w:t>
            </w:r>
          </w:p>
        </w:tc>
        <w:tc>
          <w:tcPr>
            <w:tcW w:w="3418" w:type="pct"/>
            <w:shd w:val="clear" w:color="000000" w:fill="FFFFFF"/>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Ansi="宋体" w:cs="宋体" w:hint="eastAsia"/>
                <w:color w:val="auto"/>
                <w:sz w:val="24"/>
                <w:szCs w:val="24"/>
              </w:rPr>
              <w:t>监测因子</w:t>
            </w:r>
          </w:p>
        </w:tc>
      </w:tr>
      <w:tr w:rsidR="00B338FE">
        <w:trPr>
          <w:trHeight w:val="310"/>
          <w:jc w:val="center"/>
        </w:trPr>
        <w:tc>
          <w:tcPr>
            <w:tcW w:w="518" w:type="pct"/>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Ansi="宋体" w:cs="宋体"/>
                <w:color w:val="auto"/>
                <w:sz w:val="24"/>
                <w:szCs w:val="24"/>
              </w:rPr>
              <w:t>1</w:t>
            </w:r>
          </w:p>
        </w:tc>
        <w:tc>
          <w:tcPr>
            <w:tcW w:w="1064" w:type="pct"/>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int="eastAsia"/>
                <w:color w:val="auto"/>
                <w:sz w:val="24"/>
                <w:szCs w:val="24"/>
              </w:rPr>
              <w:t>塔尼</w:t>
            </w:r>
          </w:p>
        </w:tc>
        <w:tc>
          <w:tcPr>
            <w:tcW w:w="3418" w:type="pct"/>
            <w:vMerge w:val="restart"/>
            <w:noWrap/>
            <w:vAlign w:val="center"/>
          </w:tcPr>
          <w:p w:rsidR="00B338FE" w:rsidRDefault="00B11729">
            <w:pPr>
              <w:adjustRightInd w:val="0"/>
              <w:snapToGrid w:val="0"/>
              <w:spacing w:line="276" w:lineRule="auto"/>
              <w:textAlignment w:val="center"/>
              <w:rPr>
                <w:rFonts w:ascii="宋体"/>
                <w:color w:val="auto"/>
                <w:sz w:val="24"/>
                <w:szCs w:val="24"/>
              </w:rPr>
            </w:pPr>
            <w:r>
              <w:rPr>
                <w:rFonts w:ascii="宋体" w:hAnsi="宋体" w:cs="宋体" w:hint="eastAsia"/>
                <w:color w:val="auto"/>
                <w:sz w:val="24"/>
                <w:szCs w:val="24"/>
              </w:rPr>
              <w:t>氨氮、总磷、总氮、高锰酸盐指数、化学需氧量、</w:t>
            </w:r>
            <w:r>
              <w:rPr>
                <w:rFonts w:ascii="宋体" w:hAnsi="宋体" w:cs="宋体"/>
                <w:color w:val="auto"/>
                <w:sz w:val="24"/>
                <w:szCs w:val="24"/>
              </w:rPr>
              <w:t>pH</w:t>
            </w:r>
            <w:r>
              <w:rPr>
                <w:rFonts w:ascii="宋体" w:hAnsi="宋体" w:cs="宋体" w:hint="eastAsia"/>
                <w:color w:val="auto"/>
                <w:sz w:val="24"/>
                <w:szCs w:val="24"/>
              </w:rPr>
              <w:t>、溶解氧、电导率、浊度、水温，共</w:t>
            </w:r>
            <w:r>
              <w:rPr>
                <w:rFonts w:ascii="宋体" w:hAnsi="宋体" w:cs="宋体"/>
                <w:color w:val="auto"/>
                <w:sz w:val="24"/>
                <w:szCs w:val="24"/>
              </w:rPr>
              <w:t>10</w:t>
            </w:r>
            <w:r>
              <w:rPr>
                <w:rFonts w:ascii="宋体" w:hAnsi="宋体" w:cs="宋体" w:hint="eastAsia"/>
                <w:color w:val="auto"/>
                <w:sz w:val="24"/>
                <w:szCs w:val="24"/>
              </w:rPr>
              <w:t>项监测因子</w:t>
            </w:r>
          </w:p>
        </w:tc>
      </w:tr>
      <w:tr w:rsidR="00B338FE">
        <w:trPr>
          <w:trHeight w:val="310"/>
          <w:jc w:val="center"/>
        </w:trPr>
        <w:tc>
          <w:tcPr>
            <w:tcW w:w="518" w:type="pct"/>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Ansi="宋体" w:cs="宋体"/>
                <w:color w:val="auto"/>
                <w:sz w:val="24"/>
                <w:szCs w:val="24"/>
              </w:rPr>
              <w:t>2</w:t>
            </w:r>
          </w:p>
        </w:tc>
        <w:tc>
          <w:tcPr>
            <w:tcW w:w="1064" w:type="pct"/>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int="eastAsia"/>
                <w:color w:val="auto"/>
                <w:sz w:val="24"/>
                <w:szCs w:val="24"/>
              </w:rPr>
              <w:t>吴庄</w:t>
            </w:r>
          </w:p>
        </w:tc>
        <w:tc>
          <w:tcPr>
            <w:tcW w:w="3418" w:type="pct"/>
            <w:vMerge/>
            <w:noWrap/>
            <w:vAlign w:val="center"/>
          </w:tcPr>
          <w:p w:rsidR="00B338FE" w:rsidRDefault="00B338FE">
            <w:pPr>
              <w:spacing w:line="276" w:lineRule="auto"/>
              <w:rPr>
                <w:rFonts w:ascii="宋体"/>
                <w:color w:val="auto"/>
                <w:sz w:val="24"/>
                <w:szCs w:val="24"/>
              </w:rPr>
            </w:pPr>
          </w:p>
        </w:tc>
      </w:tr>
    </w:tbl>
    <w:p w:rsidR="00B338FE" w:rsidRDefault="00B11729">
      <w:pPr>
        <w:spacing w:line="400" w:lineRule="exact"/>
        <w:jc w:val="center"/>
        <w:rPr>
          <w:b/>
          <w:bCs/>
          <w:color w:val="auto"/>
        </w:rPr>
      </w:pPr>
      <w:r>
        <w:rPr>
          <w:rFonts w:ascii="宋体" w:hAnsi="宋体" w:cs="宋体" w:hint="eastAsia"/>
          <w:color w:val="auto"/>
          <w:sz w:val="24"/>
          <w:szCs w:val="24"/>
        </w:rPr>
        <w:t>站点监测仪器基本情况</w:t>
      </w:r>
    </w:p>
    <w:tbl>
      <w:tblPr>
        <w:tblW w:w="48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1965"/>
        <w:gridCol w:w="6321"/>
      </w:tblGrid>
      <w:tr w:rsidR="00B338FE">
        <w:trPr>
          <w:trHeight w:val="430"/>
          <w:jc w:val="center"/>
        </w:trPr>
        <w:tc>
          <w:tcPr>
            <w:tcW w:w="500" w:type="pct"/>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Ansi="宋体" w:cs="宋体" w:hint="eastAsia"/>
                <w:color w:val="auto"/>
                <w:sz w:val="24"/>
                <w:szCs w:val="24"/>
              </w:rPr>
              <w:t>序号</w:t>
            </w:r>
          </w:p>
        </w:tc>
        <w:tc>
          <w:tcPr>
            <w:tcW w:w="1067" w:type="pct"/>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Ansi="宋体" w:cs="宋体" w:hint="eastAsia"/>
                <w:color w:val="auto"/>
                <w:sz w:val="24"/>
                <w:szCs w:val="24"/>
              </w:rPr>
              <w:t>断面名称</w:t>
            </w:r>
          </w:p>
        </w:tc>
        <w:tc>
          <w:tcPr>
            <w:tcW w:w="3433" w:type="pct"/>
            <w:shd w:val="clear" w:color="000000" w:fill="FFFFFF"/>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Ansi="宋体" w:cs="宋体" w:hint="eastAsia"/>
                <w:color w:val="auto"/>
                <w:sz w:val="24"/>
                <w:szCs w:val="24"/>
              </w:rPr>
              <w:t>仪器设备品牌型号</w:t>
            </w:r>
          </w:p>
        </w:tc>
      </w:tr>
      <w:tr w:rsidR="00B338FE">
        <w:trPr>
          <w:trHeight w:val="1111"/>
          <w:jc w:val="center"/>
        </w:trPr>
        <w:tc>
          <w:tcPr>
            <w:tcW w:w="500" w:type="pct"/>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Ansi="宋体" w:cs="宋体"/>
                <w:color w:val="auto"/>
                <w:sz w:val="24"/>
                <w:szCs w:val="24"/>
              </w:rPr>
              <w:t>1</w:t>
            </w:r>
          </w:p>
        </w:tc>
        <w:tc>
          <w:tcPr>
            <w:tcW w:w="1067" w:type="pct"/>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int="eastAsia"/>
                <w:color w:val="auto"/>
                <w:sz w:val="24"/>
                <w:szCs w:val="24"/>
              </w:rPr>
              <w:t>塔尼</w:t>
            </w:r>
          </w:p>
        </w:tc>
        <w:tc>
          <w:tcPr>
            <w:tcW w:w="3433" w:type="pct"/>
            <w:vMerge w:val="restart"/>
            <w:noWrap/>
            <w:vAlign w:val="center"/>
          </w:tcPr>
          <w:p w:rsidR="00B338FE" w:rsidRDefault="00B11729">
            <w:pPr>
              <w:adjustRightInd w:val="0"/>
              <w:snapToGrid w:val="0"/>
              <w:spacing w:line="276" w:lineRule="auto"/>
              <w:jc w:val="left"/>
              <w:textAlignment w:val="center"/>
              <w:rPr>
                <w:rFonts w:ascii="宋体" w:hAnsi="宋体" w:cs="宋体"/>
                <w:color w:val="auto"/>
                <w:sz w:val="24"/>
                <w:szCs w:val="24"/>
              </w:rPr>
            </w:pPr>
            <w:r>
              <w:rPr>
                <w:rFonts w:ascii="宋体" w:hAnsi="宋体" w:cs="宋体" w:hint="eastAsia"/>
                <w:color w:val="auto"/>
                <w:sz w:val="24"/>
                <w:szCs w:val="24"/>
              </w:rPr>
              <w:t>五参数：理工环科W</w:t>
            </w:r>
            <w:r>
              <w:rPr>
                <w:rFonts w:ascii="宋体" w:hAnsi="宋体" w:cs="宋体"/>
                <w:color w:val="auto"/>
                <w:sz w:val="24"/>
                <w:szCs w:val="24"/>
              </w:rPr>
              <w:t>QMS2000-MS5</w:t>
            </w:r>
          </w:p>
          <w:p w:rsidR="00B338FE" w:rsidRDefault="00B11729">
            <w:pPr>
              <w:adjustRightInd w:val="0"/>
              <w:snapToGrid w:val="0"/>
              <w:spacing w:line="276" w:lineRule="auto"/>
              <w:jc w:val="left"/>
              <w:textAlignment w:val="center"/>
              <w:rPr>
                <w:rFonts w:ascii="宋体" w:hAnsi="宋体" w:cs="宋体"/>
                <w:color w:val="auto"/>
                <w:sz w:val="24"/>
                <w:szCs w:val="24"/>
              </w:rPr>
            </w:pPr>
            <w:r>
              <w:rPr>
                <w:rFonts w:ascii="宋体" w:hAnsi="宋体" w:cs="宋体" w:hint="eastAsia"/>
                <w:color w:val="auto"/>
                <w:sz w:val="24"/>
                <w:szCs w:val="24"/>
              </w:rPr>
              <w:t>氨氮：理工环科W</w:t>
            </w:r>
            <w:r>
              <w:rPr>
                <w:rFonts w:ascii="宋体" w:hAnsi="宋体" w:cs="宋体"/>
                <w:color w:val="auto"/>
                <w:sz w:val="24"/>
                <w:szCs w:val="24"/>
              </w:rPr>
              <w:t>QMS2000-NHN</w:t>
            </w:r>
          </w:p>
          <w:p w:rsidR="00B338FE" w:rsidRDefault="00B11729">
            <w:pPr>
              <w:adjustRightInd w:val="0"/>
              <w:snapToGrid w:val="0"/>
              <w:spacing w:line="276" w:lineRule="auto"/>
              <w:jc w:val="left"/>
              <w:textAlignment w:val="center"/>
              <w:rPr>
                <w:rFonts w:ascii="宋体" w:hAnsi="宋体" w:cs="宋体"/>
                <w:color w:val="auto"/>
                <w:sz w:val="24"/>
                <w:szCs w:val="24"/>
              </w:rPr>
            </w:pPr>
            <w:r>
              <w:rPr>
                <w:rFonts w:ascii="宋体" w:hAnsi="宋体" w:cs="宋体" w:hint="eastAsia"/>
                <w:color w:val="auto"/>
                <w:sz w:val="24"/>
                <w:szCs w:val="24"/>
              </w:rPr>
              <w:t>总磷：理工环科W</w:t>
            </w:r>
            <w:r>
              <w:rPr>
                <w:rFonts w:ascii="宋体" w:hAnsi="宋体" w:cs="宋体"/>
                <w:color w:val="auto"/>
                <w:sz w:val="24"/>
                <w:szCs w:val="24"/>
              </w:rPr>
              <w:t>QMS2000-TP</w:t>
            </w:r>
          </w:p>
          <w:p w:rsidR="00B338FE" w:rsidRDefault="00B11729">
            <w:pPr>
              <w:adjustRightInd w:val="0"/>
              <w:snapToGrid w:val="0"/>
              <w:spacing w:line="276" w:lineRule="auto"/>
              <w:jc w:val="left"/>
              <w:textAlignment w:val="center"/>
              <w:rPr>
                <w:rFonts w:ascii="宋体" w:hAnsi="宋体" w:cs="宋体"/>
                <w:color w:val="auto"/>
                <w:sz w:val="24"/>
                <w:szCs w:val="24"/>
              </w:rPr>
            </w:pPr>
            <w:r>
              <w:rPr>
                <w:rFonts w:ascii="宋体" w:hAnsi="宋体" w:cs="宋体" w:hint="eastAsia"/>
                <w:color w:val="auto"/>
                <w:sz w:val="24"/>
                <w:szCs w:val="24"/>
              </w:rPr>
              <w:t>总氮：理工环科W</w:t>
            </w:r>
            <w:r>
              <w:rPr>
                <w:rFonts w:ascii="宋体" w:hAnsi="宋体" w:cs="宋体"/>
                <w:color w:val="auto"/>
                <w:sz w:val="24"/>
                <w:szCs w:val="24"/>
              </w:rPr>
              <w:t>QMS2000-TN</w:t>
            </w:r>
          </w:p>
          <w:p w:rsidR="00B338FE" w:rsidRDefault="00B11729">
            <w:pPr>
              <w:adjustRightInd w:val="0"/>
              <w:snapToGrid w:val="0"/>
              <w:spacing w:line="276" w:lineRule="auto"/>
              <w:jc w:val="left"/>
              <w:textAlignment w:val="center"/>
              <w:rPr>
                <w:rFonts w:ascii="宋体" w:hAnsi="宋体" w:cs="宋体"/>
                <w:color w:val="auto"/>
                <w:sz w:val="24"/>
                <w:szCs w:val="24"/>
              </w:rPr>
            </w:pPr>
            <w:r>
              <w:rPr>
                <w:rFonts w:ascii="宋体" w:hAnsi="宋体" w:cs="宋体" w:hint="eastAsia"/>
                <w:color w:val="auto"/>
                <w:sz w:val="24"/>
                <w:szCs w:val="24"/>
              </w:rPr>
              <w:t>高锰酸盐指数：理工环科W</w:t>
            </w:r>
            <w:r>
              <w:rPr>
                <w:rFonts w:ascii="宋体" w:hAnsi="宋体" w:cs="宋体"/>
                <w:color w:val="auto"/>
                <w:sz w:val="24"/>
                <w:szCs w:val="24"/>
              </w:rPr>
              <w:t>QMS2000-CODmn</w:t>
            </w:r>
          </w:p>
          <w:p w:rsidR="00B338FE" w:rsidRDefault="00B11729">
            <w:pPr>
              <w:adjustRightInd w:val="0"/>
              <w:snapToGrid w:val="0"/>
              <w:spacing w:line="276" w:lineRule="auto"/>
              <w:jc w:val="left"/>
              <w:textAlignment w:val="center"/>
              <w:rPr>
                <w:rFonts w:ascii="宋体" w:hAnsi="宋体" w:cs="宋体"/>
                <w:color w:val="auto"/>
                <w:sz w:val="24"/>
                <w:szCs w:val="24"/>
              </w:rPr>
            </w:pPr>
            <w:bookmarkStart w:id="2" w:name="OLE_LINK1"/>
            <w:r>
              <w:rPr>
                <w:rFonts w:ascii="宋体" w:hAnsi="宋体" w:cs="宋体" w:hint="eastAsia"/>
                <w:color w:val="auto"/>
                <w:sz w:val="24"/>
                <w:szCs w:val="24"/>
              </w:rPr>
              <w:t>化学需氧量</w:t>
            </w:r>
            <w:bookmarkEnd w:id="2"/>
            <w:r>
              <w:rPr>
                <w:rFonts w:ascii="宋体" w:hAnsi="宋体" w:cs="宋体" w:hint="eastAsia"/>
                <w:color w:val="auto"/>
                <w:sz w:val="24"/>
                <w:szCs w:val="24"/>
              </w:rPr>
              <w:t>：朗石</w:t>
            </w:r>
            <w:r>
              <w:rPr>
                <w:rFonts w:ascii="宋体" w:hAnsi="宋体" w:cs="宋体"/>
                <w:color w:val="auto"/>
                <w:sz w:val="24"/>
                <w:szCs w:val="24"/>
              </w:rPr>
              <w:t>PhotoTek6000</w:t>
            </w:r>
          </w:p>
          <w:p w:rsidR="00B338FE" w:rsidRDefault="00B11729">
            <w:pPr>
              <w:adjustRightInd w:val="0"/>
              <w:snapToGrid w:val="0"/>
              <w:spacing w:line="276" w:lineRule="auto"/>
              <w:jc w:val="left"/>
              <w:textAlignment w:val="center"/>
              <w:rPr>
                <w:rFonts w:ascii="宋体" w:hAnsi="宋体" w:cs="宋体"/>
                <w:color w:val="auto"/>
                <w:sz w:val="24"/>
                <w:szCs w:val="24"/>
              </w:rPr>
            </w:pPr>
            <w:r>
              <w:rPr>
                <w:rFonts w:ascii="宋体" w:hAnsi="宋体" w:cs="宋体" w:hint="eastAsia"/>
                <w:color w:val="auto"/>
                <w:sz w:val="24"/>
                <w:szCs w:val="24"/>
              </w:rPr>
              <w:t>质控仪：理工环科D</w:t>
            </w:r>
            <w:r>
              <w:rPr>
                <w:rFonts w:ascii="宋体" w:hAnsi="宋体" w:cs="宋体"/>
                <w:color w:val="auto"/>
                <w:sz w:val="24"/>
                <w:szCs w:val="24"/>
              </w:rPr>
              <w:t>AQM1000</w:t>
            </w:r>
          </w:p>
          <w:p w:rsidR="00B338FE" w:rsidRDefault="00B11729">
            <w:pPr>
              <w:adjustRightInd w:val="0"/>
              <w:snapToGrid w:val="0"/>
              <w:spacing w:line="276" w:lineRule="auto"/>
              <w:jc w:val="left"/>
              <w:textAlignment w:val="center"/>
            </w:pPr>
            <w:r>
              <w:rPr>
                <w:rFonts w:ascii="宋体" w:hAnsi="宋体" w:cs="宋体" w:hint="eastAsia"/>
                <w:color w:val="auto"/>
                <w:sz w:val="24"/>
                <w:szCs w:val="24"/>
              </w:rPr>
              <w:t>自动留样器：理工环科W</w:t>
            </w:r>
            <w:r>
              <w:rPr>
                <w:rFonts w:ascii="宋体" w:hAnsi="宋体" w:cs="宋体"/>
                <w:color w:val="auto"/>
                <w:sz w:val="24"/>
                <w:szCs w:val="24"/>
              </w:rPr>
              <w:t>QMS2000-WMC</w:t>
            </w:r>
          </w:p>
        </w:tc>
      </w:tr>
      <w:tr w:rsidR="00B338FE">
        <w:trPr>
          <w:trHeight w:val="310"/>
          <w:jc w:val="center"/>
        </w:trPr>
        <w:tc>
          <w:tcPr>
            <w:tcW w:w="500" w:type="pct"/>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Ansi="宋体" w:cs="宋体"/>
                <w:color w:val="auto"/>
                <w:sz w:val="24"/>
                <w:szCs w:val="24"/>
              </w:rPr>
              <w:t>2</w:t>
            </w:r>
          </w:p>
        </w:tc>
        <w:tc>
          <w:tcPr>
            <w:tcW w:w="1067" w:type="pct"/>
            <w:noWrap/>
            <w:vAlign w:val="center"/>
          </w:tcPr>
          <w:p w:rsidR="00B338FE" w:rsidRDefault="00B11729">
            <w:pPr>
              <w:adjustRightInd w:val="0"/>
              <w:snapToGrid w:val="0"/>
              <w:spacing w:line="276" w:lineRule="auto"/>
              <w:jc w:val="center"/>
              <w:textAlignment w:val="center"/>
              <w:rPr>
                <w:rFonts w:ascii="宋体"/>
                <w:color w:val="auto"/>
                <w:sz w:val="24"/>
                <w:szCs w:val="24"/>
              </w:rPr>
            </w:pPr>
            <w:r>
              <w:rPr>
                <w:rFonts w:ascii="宋体" w:hint="eastAsia"/>
                <w:color w:val="auto"/>
                <w:sz w:val="24"/>
                <w:szCs w:val="24"/>
              </w:rPr>
              <w:t>吴庄</w:t>
            </w:r>
          </w:p>
        </w:tc>
        <w:tc>
          <w:tcPr>
            <w:tcW w:w="3433" w:type="pct"/>
            <w:vMerge/>
            <w:noWrap/>
            <w:vAlign w:val="center"/>
          </w:tcPr>
          <w:p w:rsidR="00B338FE" w:rsidRDefault="00B338FE">
            <w:pPr>
              <w:spacing w:line="276" w:lineRule="auto"/>
              <w:rPr>
                <w:rFonts w:ascii="宋体"/>
                <w:color w:val="auto"/>
                <w:sz w:val="24"/>
                <w:szCs w:val="24"/>
              </w:rPr>
            </w:pPr>
          </w:p>
        </w:tc>
      </w:tr>
    </w:tbl>
    <w:p w:rsidR="00B338FE" w:rsidRDefault="00B338FE"/>
    <w:p w:rsidR="00B338FE" w:rsidRPr="00A022A1" w:rsidRDefault="00C3359C" w:rsidP="00A022A1">
      <w:pPr>
        <w:adjustRightInd w:val="0"/>
        <w:snapToGrid w:val="0"/>
        <w:spacing w:line="300" w:lineRule="auto"/>
        <w:ind w:firstLineChars="200" w:firstLine="562"/>
        <w:jc w:val="left"/>
        <w:rPr>
          <w:rFonts w:ascii="黑体" w:eastAsia="黑体" w:hAnsi="黑体"/>
          <w:b/>
          <w:bCs/>
          <w:color w:val="auto"/>
          <w:sz w:val="28"/>
          <w:szCs w:val="28"/>
        </w:rPr>
      </w:pPr>
      <w:r>
        <w:rPr>
          <w:rFonts w:ascii="黑体" w:eastAsia="黑体" w:hAnsi="黑体" w:cs="黑体" w:hint="eastAsia"/>
          <w:b/>
          <w:bCs/>
          <w:color w:val="auto"/>
          <w:sz w:val="28"/>
          <w:szCs w:val="28"/>
        </w:rPr>
        <w:t>（三）</w:t>
      </w:r>
      <w:r w:rsidR="00B11729" w:rsidRPr="00A022A1">
        <w:rPr>
          <w:rFonts w:ascii="黑体" w:eastAsia="黑体" w:hAnsi="黑体" w:cs="黑体" w:hint="eastAsia"/>
          <w:b/>
          <w:bCs/>
          <w:color w:val="auto"/>
          <w:sz w:val="28"/>
          <w:szCs w:val="28"/>
        </w:rPr>
        <w:t>采购标的需执行的国家相关标准、行业标准、地方标准或者其他标准、规范；</w:t>
      </w:r>
    </w:p>
    <w:p w:rsidR="00B338FE" w:rsidRPr="00A022A1" w:rsidRDefault="00B11729">
      <w:pPr>
        <w:widowControl w:val="0"/>
        <w:adjustRightInd w:val="0"/>
        <w:snapToGrid w:val="0"/>
        <w:spacing w:beforeLines="50" w:before="156" w:line="300" w:lineRule="auto"/>
        <w:ind w:left="22" w:firstLine="555"/>
        <w:jc w:val="left"/>
        <w:rPr>
          <w:color w:val="auto"/>
          <w:sz w:val="28"/>
          <w:szCs w:val="28"/>
        </w:rPr>
      </w:pPr>
      <w:r w:rsidRPr="00A022A1">
        <w:rPr>
          <w:rFonts w:cs="宋体" w:hint="eastAsia"/>
          <w:color w:val="auto"/>
          <w:sz w:val="28"/>
          <w:szCs w:val="28"/>
        </w:rPr>
        <w:t>投标人所投服务（及所涉货物材料设施）应符合国家质量标准、部颁标</w:t>
      </w:r>
      <w:r w:rsidRPr="00A022A1">
        <w:rPr>
          <w:rFonts w:cs="宋体" w:hint="eastAsia"/>
          <w:color w:val="auto"/>
          <w:sz w:val="28"/>
          <w:szCs w:val="28"/>
        </w:rPr>
        <w:lastRenderedPageBreak/>
        <w:t>准及行业规范的要求，符合国家各项强制性规范及安全标准，投标服务（及所涉货物材料设施）不应与第三方存在知识产权权属问题；投标人应本着服务客户、为客户着想的宗旨，来完善服务（及所涉货物材料设施）及技术要求未尽事宜，不得以招标文件未列明事项为由，来降低投标服务（及所涉货物材料设施）的质量。</w:t>
      </w:r>
    </w:p>
    <w:p w:rsidR="00B338FE" w:rsidRDefault="00751F7E">
      <w:pPr>
        <w:spacing w:line="560" w:lineRule="exact"/>
        <w:ind w:firstLineChars="200" w:firstLine="562"/>
        <w:outlineLvl w:val="1"/>
        <w:rPr>
          <w:rFonts w:ascii="黑体" w:eastAsia="黑体" w:hAnsi="黑体"/>
          <w:b/>
          <w:bCs/>
          <w:color w:val="auto"/>
          <w:sz w:val="28"/>
          <w:szCs w:val="28"/>
        </w:rPr>
      </w:pPr>
      <w:bookmarkStart w:id="3" w:name="_Toc98489238"/>
      <w:r>
        <w:rPr>
          <w:rFonts w:ascii="黑体" w:eastAsia="黑体" w:hAnsi="黑体" w:cs="黑体"/>
          <w:b/>
          <w:bCs/>
          <w:color w:val="auto"/>
          <w:sz w:val="28"/>
          <w:szCs w:val="28"/>
        </w:rPr>
        <w:t>二</w:t>
      </w:r>
      <w:r w:rsidR="00B11729">
        <w:rPr>
          <w:rFonts w:ascii="黑体" w:eastAsia="黑体" w:hAnsi="黑体" w:cs="黑体"/>
          <w:b/>
          <w:bCs/>
          <w:color w:val="auto"/>
          <w:sz w:val="28"/>
          <w:szCs w:val="28"/>
        </w:rPr>
        <w:t xml:space="preserve">. </w:t>
      </w:r>
      <w:bookmarkEnd w:id="3"/>
      <w:r w:rsidR="00B11729">
        <w:rPr>
          <w:rFonts w:ascii="黑体" w:eastAsia="黑体" w:hAnsi="黑体" w:cs="黑体" w:hint="eastAsia"/>
          <w:b/>
          <w:bCs/>
          <w:color w:val="auto"/>
          <w:sz w:val="28"/>
          <w:szCs w:val="28"/>
        </w:rPr>
        <w:t>技术要求</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（一）运维工作内容</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按照河南省生态环境厅《关于印发河南省地表水环境质量自动监测站运行管理办法</w:t>
      </w:r>
      <w:r>
        <w:rPr>
          <w:color w:val="auto"/>
          <w:sz w:val="24"/>
          <w:szCs w:val="24"/>
        </w:rPr>
        <w:t>(</w:t>
      </w:r>
      <w:r>
        <w:rPr>
          <w:rFonts w:cs="宋体" w:hint="eastAsia"/>
          <w:color w:val="auto"/>
          <w:sz w:val="24"/>
          <w:szCs w:val="24"/>
        </w:rPr>
        <w:t>修订）》（豫环文〔</w:t>
      </w:r>
      <w:r>
        <w:rPr>
          <w:color w:val="auto"/>
          <w:sz w:val="24"/>
          <w:szCs w:val="24"/>
        </w:rPr>
        <w:t>2020</w:t>
      </w:r>
      <w:r>
        <w:rPr>
          <w:rFonts w:cs="宋体" w:hint="eastAsia"/>
          <w:color w:val="auto"/>
          <w:sz w:val="24"/>
          <w:szCs w:val="24"/>
        </w:rPr>
        <w:t>〕</w:t>
      </w:r>
      <w:r>
        <w:rPr>
          <w:color w:val="auto"/>
          <w:sz w:val="24"/>
          <w:szCs w:val="24"/>
        </w:rPr>
        <w:t>73</w:t>
      </w:r>
      <w:r>
        <w:rPr>
          <w:rFonts w:cs="宋体" w:hint="eastAsia"/>
          <w:color w:val="auto"/>
          <w:sz w:val="24"/>
          <w:szCs w:val="24"/>
        </w:rPr>
        <w:t>号）、国家和我省有关生态环境保护法规、《地表水自动监测技术规范（试行）》（</w:t>
      </w:r>
      <w:r>
        <w:rPr>
          <w:color w:val="auto"/>
          <w:sz w:val="24"/>
          <w:szCs w:val="24"/>
        </w:rPr>
        <w:t>HJ 915-2017</w:t>
      </w:r>
      <w:r>
        <w:rPr>
          <w:rFonts w:cs="宋体" w:hint="eastAsia"/>
          <w:color w:val="auto"/>
          <w:sz w:val="24"/>
          <w:szCs w:val="24"/>
        </w:rPr>
        <w:t>）要求，做好运维管理工作，具体要求如下：</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投标人负责水站各系统的定期巡检、维护、后勤保障工作，包括水站管理、技术人员和车辆的调配，试剂的购置与更换，比对实验的保障等工作。做好防雷和供电设施等的年度检定工作，向采购人报送年度防雷报告；</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、投标人负责水站的所有设备故障的现场维修工作，向采购人报送故障排除情况报告；</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、投标人负责做好各水站站房及配套设施的安全防盗工作，保证门禁系统运行正常，确保水站财产安全。每季度上报运行安全管理报告；对出现的事故应以书面报告形式上报采购人。</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（二）运行维护管理目标</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全面贯彻质量方针、建立符合国家标准且适合于“采购人监管</w:t>
      </w:r>
      <w:r>
        <w:rPr>
          <w:color w:val="auto"/>
          <w:sz w:val="24"/>
          <w:szCs w:val="24"/>
        </w:rPr>
        <w:t>—</w:t>
      </w:r>
      <w:r>
        <w:rPr>
          <w:rFonts w:cs="宋体" w:hint="eastAsia"/>
          <w:color w:val="auto"/>
          <w:sz w:val="24"/>
          <w:szCs w:val="24"/>
        </w:rPr>
        <w:t>投标人运维”模式下的质量管理体系，提供及时、准确、有效的技术服务，不断提高水站的运行质量，确保水质自动站能够按照采购人的技术要求，提供准确监测数据所必须达到的软、硬件环境，并达到以下指标：</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、数据上传率达到</w:t>
      </w:r>
      <w:r>
        <w:rPr>
          <w:color w:val="auto"/>
          <w:sz w:val="24"/>
          <w:szCs w:val="24"/>
        </w:rPr>
        <w:t>90%</w:t>
      </w:r>
      <w:r>
        <w:rPr>
          <w:rFonts w:cs="宋体" w:hint="eastAsia"/>
          <w:color w:val="auto"/>
          <w:sz w:val="24"/>
          <w:szCs w:val="24"/>
        </w:rPr>
        <w:t>以上（实际上传数据个数</w:t>
      </w:r>
      <w:r>
        <w:rPr>
          <w:color w:val="auto"/>
          <w:sz w:val="24"/>
          <w:szCs w:val="24"/>
        </w:rPr>
        <w:t>/</w:t>
      </w:r>
      <w:r>
        <w:rPr>
          <w:rFonts w:cs="宋体" w:hint="eastAsia"/>
          <w:color w:val="auto"/>
          <w:sz w:val="24"/>
          <w:szCs w:val="24"/>
        </w:rPr>
        <w:t>应上传数据个数×</w:t>
      </w:r>
      <w:r>
        <w:rPr>
          <w:color w:val="auto"/>
          <w:sz w:val="24"/>
          <w:szCs w:val="24"/>
        </w:rPr>
        <w:t>100%</w:t>
      </w:r>
      <w:r>
        <w:rPr>
          <w:rFonts w:cs="宋体"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、数据有效率达到</w:t>
      </w:r>
      <w:r>
        <w:rPr>
          <w:color w:val="auto"/>
          <w:sz w:val="24"/>
          <w:szCs w:val="24"/>
        </w:rPr>
        <w:t>90%</w:t>
      </w:r>
      <w:r>
        <w:rPr>
          <w:rFonts w:cs="宋体" w:hint="eastAsia"/>
          <w:color w:val="auto"/>
          <w:sz w:val="24"/>
          <w:szCs w:val="24"/>
        </w:rPr>
        <w:t>以上（实际有效数据个数</w:t>
      </w:r>
      <w:r>
        <w:rPr>
          <w:color w:val="auto"/>
          <w:sz w:val="24"/>
          <w:szCs w:val="24"/>
        </w:rPr>
        <w:t>/</w:t>
      </w:r>
      <w:r>
        <w:rPr>
          <w:rFonts w:cs="宋体" w:hint="eastAsia"/>
          <w:color w:val="auto"/>
          <w:sz w:val="24"/>
          <w:szCs w:val="24"/>
        </w:rPr>
        <w:t>应上传数据个数×</w:t>
      </w:r>
      <w:r>
        <w:rPr>
          <w:color w:val="auto"/>
          <w:sz w:val="24"/>
          <w:szCs w:val="24"/>
        </w:rPr>
        <w:t>100%</w:t>
      </w:r>
      <w:r>
        <w:rPr>
          <w:rFonts w:cs="宋体"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、异常情况处理率</w:t>
      </w:r>
      <w:r>
        <w:rPr>
          <w:color w:val="auto"/>
          <w:sz w:val="24"/>
          <w:szCs w:val="24"/>
        </w:rPr>
        <w:t>100%</w:t>
      </w:r>
      <w:r>
        <w:rPr>
          <w:rFonts w:cs="宋体" w:hint="eastAsia"/>
          <w:color w:val="auto"/>
          <w:sz w:val="24"/>
          <w:szCs w:val="24"/>
        </w:rPr>
        <w:t>。平均故障响应时间（∑故障排除时间</w:t>
      </w:r>
      <w:r>
        <w:rPr>
          <w:color w:val="auto"/>
          <w:sz w:val="24"/>
          <w:szCs w:val="24"/>
        </w:rPr>
        <w:t xml:space="preserve"> / </w:t>
      </w:r>
      <w:r>
        <w:rPr>
          <w:rFonts w:cs="宋体" w:hint="eastAsia"/>
          <w:color w:val="auto"/>
          <w:sz w:val="24"/>
          <w:szCs w:val="24"/>
        </w:rPr>
        <w:t>故障总次数）不超过</w:t>
      </w:r>
      <w:r>
        <w:rPr>
          <w:color w:val="auto"/>
          <w:sz w:val="24"/>
          <w:szCs w:val="24"/>
        </w:rPr>
        <w:t>4</w:t>
      </w:r>
      <w:r>
        <w:rPr>
          <w:rFonts w:cs="宋体" w:hint="eastAsia"/>
          <w:color w:val="auto"/>
          <w:sz w:val="24"/>
          <w:szCs w:val="24"/>
        </w:rPr>
        <w:t>小时。（出现故障后，投标人需在规定时间以内到达现场进行故障排除）。</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注：（</w:t>
      </w:r>
      <w:r>
        <w:rPr>
          <w:color w:val="auto"/>
          <w:sz w:val="24"/>
          <w:szCs w:val="24"/>
        </w:rPr>
        <w:t>1</w:t>
      </w:r>
      <w:r>
        <w:rPr>
          <w:rFonts w:cs="宋体" w:hint="eastAsia"/>
          <w:color w:val="auto"/>
          <w:sz w:val="24"/>
          <w:szCs w:val="24"/>
        </w:rPr>
        <w:t>）不可抗力（如雷电、洪水、疫情、旱灾，火灾、断流等）造成系统无法运行、数据的缺失不计入统计考核指标。</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 xml:space="preserve">    </w:t>
      </w:r>
      <w:r>
        <w:rPr>
          <w:rFonts w:cs="宋体" w:hint="eastAsia"/>
          <w:color w:val="auto"/>
          <w:sz w:val="24"/>
          <w:szCs w:val="24"/>
        </w:rPr>
        <w:t>（</w:t>
      </w:r>
      <w:r>
        <w:rPr>
          <w:color w:val="auto"/>
          <w:sz w:val="24"/>
          <w:szCs w:val="24"/>
        </w:rPr>
        <w:t>2</w:t>
      </w:r>
      <w:r>
        <w:rPr>
          <w:rFonts w:cs="宋体" w:hint="eastAsia"/>
          <w:color w:val="auto"/>
          <w:sz w:val="24"/>
          <w:szCs w:val="24"/>
        </w:rPr>
        <w:t>）突发事件（如偷盗、光纤故障，停电等）造成系统无法运行、数据的缺失不计入统计考核指标。</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（三）运行维护工作要求</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对水站实施“日监控、周巡检、月自查”的日常运行维护与管理制度。保证前端水站与监控平台数据畅通。</w:t>
      </w:r>
    </w:p>
    <w:p w:rsidR="00B338FE" w:rsidRDefault="00B11729" w:rsidP="00407B08">
      <w:pPr>
        <w:widowControl w:val="0"/>
        <w:adjustRightInd w:val="0"/>
        <w:snapToGrid w:val="0"/>
        <w:spacing w:line="300" w:lineRule="auto"/>
        <w:ind w:firstLineChars="200" w:firstLine="480"/>
        <w:rPr>
          <w:color w:val="auto"/>
          <w:sz w:val="24"/>
          <w:szCs w:val="24"/>
        </w:rPr>
      </w:pPr>
      <w:r>
        <w:rPr>
          <w:rFonts w:cs="宋体" w:hint="eastAsia"/>
          <w:color w:val="auto"/>
          <w:sz w:val="24"/>
          <w:szCs w:val="24"/>
        </w:rPr>
        <w:t>运维工作一般要求如下：</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lastRenderedPageBreak/>
        <w:t>1</w:t>
      </w:r>
      <w:r>
        <w:rPr>
          <w:rFonts w:cs="宋体" w:hint="eastAsia"/>
          <w:color w:val="auto"/>
          <w:sz w:val="24"/>
          <w:szCs w:val="24"/>
        </w:rPr>
        <w:t>、根据仪器监测数据判断仪器运行情况；</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、根据电源电压、站房温度、湿度等参数分析站房内部情况；</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、发现水站数据持续异常情况，应及时赶赴现场进行处理并填写有关情况记录，必要时现场采集实时水样和留样并委托有资质实验室进行分析；</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4</w:t>
      </w:r>
      <w:r>
        <w:rPr>
          <w:rFonts w:cs="宋体" w:hint="eastAsia"/>
          <w:color w:val="auto"/>
          <w:sz w:val="24"/>
          <w:szCs w:val="24"/>
        </w:rPr>
        <w:t>、每天上午</w:t>
      </w:r>
      <w:r>
        <w:rPr>
          <w:color w:val="auto"/>
          <w:sz w:val="24"/>
          <w:szCs w:val="24"/>
        </w:rPr>
        <w:t>10:00</w:t>
      </w:r>
      <w:r>
        <w:rPr>
          <w:rFonts w:cs="宋体" w:hint="eastAsia"/>
          <w:color w:val="auto"/>
          <w:sz w:val="24"/>
          <w:szCs w:val="24"/>
        </w:rPr>
        <w:t>前，登录水质监测系统平台，对水站前一天的自动监测数据进行初步审核；</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5</w:t>
      </w:r>
      <w:r>
        <w:rPr>
          <w:rFonts w:cs="宋体" w:hint="eastAsia"/>
          <w:color w:val="auto"/>
          <w:sz w:val="24"/>
          <w:szCs w:val="24"/>
        </w:rPr>
        <w:t>、投标人每年制定巡检计划上报采购人，每月上报月度巡检报告，年底上报年度运维报告；</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6</w:t>
      </w:r>
      <w:r>
        <w:rPr>
          <w:rFonts w:cs="宋体" w:hint="eastAsia"/>
          <w:color w:val="auto"/>
          <w:sz w:val="24"/>
          <w:szCs w:val="24"/>
        </w:rPr>
        <w:t>、监控必须保证前端水站与监控平台数据畅通。</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（四）每日工作内容如下：</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、通过仪器监测数据判断仪器运行情况；</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、根据电源电压、站房温度、湿度等参数分析站房内部情况；</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、通过查看水站平台数据对水站仪器设备运行状态做出预判，确保水站运行正常。</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（五）每周工作内容如下：</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每周应巡检水站至少一次，主要工作包括：</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采水系统、配水系统、通讯系统、控制系统、集成、配电、各分析仪器、站房周边环境及供电、防雷、消防设施的安全和卫生的维护及现场填写运维质控记录。</w:t>
      </w:r>
    </w:p>
    <w:p w:rsidR="00B338FE" w:rsidRDefault="00B11729">
      <w:pPr>
        <w:ind w:firstLineChars="200" w:firstLine="480"/>
        <w:jc w:val="center"/>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w:t>
      </w:r>
      <w:r>
        <w:rPr>
          <w:rFonts w:ascii="宋体" w:hAnsi="宋体" w:cs="宋体" w:hint="eastAsia"/>
          <w:color w:val="auto"/>
          <w:sz w:val="24"/>
          <w:szCs w:val="24"/>
        </w:rPr>
        <w:t>月的工作详见下表</w:t>
      </w:r>
    </w:p>
    <w:tbl>
      <w:tblPr>
        <w:tblW w:w="100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5"/>
        <w:gridCol w:w="1559"/>
        <w:gridCol w:w="1559"/>
        <w:gridCol w:w="6196"/>
      </w:tblGrid>
      <w:tr w:rsidR="00B338FE">
        <w:trPr>
          <w:trHeight w:val="512"/>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序号</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维护内容</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维护目标</w:t>
            </w:r>
          </w:p>
        </w:tc>
        <w:tc>
          <w:tcPr>
            <w:tcW w:w="6196"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维护要求</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1</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采水系统</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确保采水系统正常运行</w:t>
            </w:r>
          </w:p>
        </w:tc>
        <w:tc>
          <w:tcPr>
            <w:tcW w:w="6196" w:type="dxa"/>
            <w:vAlign w:val="center"/>
          </w:tcPr>
          <w:p w:rsidR="00B338FE" w:rsidRDefault="00B11729">
            <w:pPr>
              <w:tabs>
                <w:tab w:val="left" w:pos="122"/>
              </w:tabs>
              <w:spacing w:line="276" w:lineRule="auto"/>
              <w:rPr>
                <w:rFonts w:ascii="宋体"/>
                <w:color w:val="auto"/>
                <w:sz w:val="24"/>
                <w:szCs w:val="24"/>
              </w:rPr>
            </w:pPr>
            <w:r>
              <w:rPr>
                <w:rFonts w:ascii="宋体" w:hAnsi="宋体" w:cs="宋体"/>
                <w:color w:val="auto"/>
                <w:sz w:val="24"/>
                <w:szCs w:val="24"/>
              </w:rPr>
              <w:t>1</w:t>
            </w: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维护工作：水泵应清洗过滤网。自吸泵应清洗采水头；潜水泵应清洗泵体、吊桶；检查采水浮船，清除四周杂物，检查警示标志的完整性。检查取水管路是否出现弯折现象，是否畅通；清理管路周边杂物，在泥沙含量大或藻类密集的断面应视情况不定期进行清洗；</w:t>
            </w:r>
          </w:p>
          <w:p w:rsidR="00B338FE" w:rsidRDefault="00B11729">
            <w:pPr>
              <w:tabs>
                <w:tab w:val="left" w:pos="122"/>
              </w:tabs>
              <w:spacing w:line="276" w:lineRule="auto"/>
              <w:rPr>
                <w:rFonts w:ascii="宋体"/>
                <w:color w:val="auto"/>
                <w:sz w:val="24"/>
                <w:szCs w:val="24"/>
              </w:rPr>
            </w:pPr>
            <w:r>
              <w:rPr>
                <w:rFonts w:ascii="宋体" w:hAnsi="宋体" w:cs="宋体"/>
                <w:color w:val="auto"/>
                <w:sz w:val="24"/>
                <w:szCs w:val="24"/>
              </w:rPr>
              <w:t>2</w:t>
            </w:r>
            <w:r>
              <w:rPr>
                <w:rFonts w:ascii="宋体" w:hAnsi="宋体" w:cs="宋体" w:hint="eastAsia"/>
                <w:color w:val="auto"/>
                <w:sz w:val="24"/>
                <w:szCs w:val="24"/>
              </w:rPr>
              <w:t>）每月</w:t>
            </w:r>
            <w:r>
              <w:rPr>
                <w:rFonts w:ascii="宋体" w:hAnsi="宋体" w:cs="宋体"/>
                <w:color w:val="auto"/>
                <w:sz w:val="24"/>
                <w:szCs w:val="24"/>
              </w:rPr>
              <w:t>1</w:t>
            </w:r>
            <w:r>
              <w:rPr>
                <w:rFonts w:ascii="宋体" w:hAnsi="宋体" w:cs="宋体" w:hint="eastAsia"/>
                <w:color w:val="auto"/>
                <w:sz w:val="24"/>
                <w:szCs w:val="24"/>
              </w:rPr>
              <w:t>次：检查管路保温材料是否完好。检查采水设施的安全性、警示标志的完整性；</w:t>
            </w:r>
          </w:p>
          <w:p w:rsidR="00B338FE" w:rsidRDefault="00B11729">
            <w:pPr>
              <w:tabs>
                <w:tab w:val="left" w:pos="360"/>
              </w:tabs>
              <w:spacing w:line="276" w:lineRule="auto"/>
              <w:rPr>
                <w:rFonts w:ascii="宋体"/>
                <w:color w:val="auto"/>
                <w:sz w:val="24"/>
                <w:szCs w:val="24"/>
              </w:rPr>
            </w:pPr>
            <w:r>
              <w:rPr>
                <w:rFonts w:ascii="宋体" w:hAnsi="宋体" w:cs="宋体"/>
                <w:color w:val="auto"/>
                <w:sz w:val="24"/>
                <w:szCs w:val="24"/>
              </w:rPr>
              <w:t>3</w:t>
            </w:r>
            <w:r>
              <w:rPr>
                <w:rFonts w:ascii="宋体" w:hAnsi="宋体" w:cs="宋体" w:hint="eastAsia"/>
                <w:color w:val="auto"/>
                <w:sz w:val="24"/>
                <w:szCs w:val="24"/>
              </w:rPr>
              <w:t>）冬季前应主要检查采水单元的采水泵工作是否正常，采水泵电源线、浮船警示灯电源线和采水管路是否老化，埋设是否裸露，保温材料是否损坏，如有老化、裸露和损坏情况应及时修复。</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2</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进水与配水系统</w:t>
            </w:r>
          </w:p>
          <w:p w:rsidR="00B338FE" w:rsidRDefault="00B338FE">
            <w:pPr>
              <w:spacing w:line="276" w:lineRule="auto"/>
              <w:jc w:val="center"/>
              <w:rPr>
                <w:rFonts w:ascii="宋体"/>
                <w:color w:val="auto"/>
                <w:sz w:val="24"/>
                <w:szCs w:val="24"/>
              </w:rPr>
            </w:pP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确保系统管路清洁，系统设备运行正常</w:t>
            </w:r>
          </w:p>
        </w:tc>
        <w:tc>
          <w:tcPr>
            <w:tcW w:w="6196" w:type="dxa"/>
            <w:vAlign w:val="center"/>
          </w:tcPr>
          <w:p w:rsidR="00B338FE" w:rsidRDefault="00B11729">
            <w:pPr>
              <w:spacing w:line="276" w:lineRule="auto"/>
              <w:rPr>
                <w:rFonts w:ascii="宋体"/>
                <w:color w:val="auto"/>
                <w:sz w:val="24"/>
                <w:szCs w:val="24"/>
              </w:rPr>
            </w:pPr>
            <w:r>
              <w:rPr>
                <w:rFonts w:ascii="宋体" w:hAnsi="宋体" w:cs="宋体"/>
                <w:color w:val="auto"/>
                <w:sz w:val="24"/>
                <w:szCs w:val="24"/>
              </w:rPr>
              <w:t>1</w:t>
            </w: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维护工作：及时检查气泵和清水增压泵工作情况；及时检查配水管路是否有滴漏现象并根据样品污染情况进行清洗；及时检查配水管路中所有球阀，清除阀内杂物，清洗阀体，确保阀体洁净；空气压缩机：每周检查气泵和清水增压泵工作状况，并对空气过滤器放水；</w:t>
            </w:r>
          </w:p>
          <w:p w:rsidR="00B338FE" w:rsidRDefault="00B11729">
            <w:pPr>
              <w:spacing w:line="276" w:lineRule="auto"/>
              <w:rPr>
                <w:rFonts w:ascii="宋体"/>
                <w:color w:val="auto"/>
                <w:sz w:val="24"/>
                <w:szCs w:val="24"/>
              </w:rPr>
            </w:pPr>
            <w:r>
              <w:rPr>
                <w:rFonts w:ascii="宋体" w:hAnsi="宋体" w:cs="宋体"/>
                <w:color w:val="auto"/>
                <w:sz w:val="24"/>
                <w:szCs w:val="24"/>
              </w:rPr>
              <w:t>2</w:t>
            </w:r>
            <w:r>
              <w:rPr>
                <w:rFonts w:ascii="宋体" w:hAnsi="宋体" w:cs="宋体" w:hint="eastAsia"/>
                <w:color w:val="auto"/>
                <w:sz w:val="24"/>
                <w:szCs w:val="24"/>
              </w:rPr>
              <w:t>）每月至少对五参数测量池、沉淀池、测量杯、过滤器芯等进行清洗</w:t>
            </w:r>
            <w:r>
              <w:rPr>
                <w:rFonts w:ascii="宋体" w:hAnsi="宋体" w:cs="宋体"/>
                <w:color w:val="auto"/>
                <w:sz w:val="24"/>
                <w:szCs w:val="24"/>
              </w:rPr>
              <w:t>2</w:t>
            </w:r>
            <w:r>
              <w:rPr>
                <w:rFonts w:ascii="宋体" w:hAnsi="宋体" w:cs="宋体" w:hint="eastAsia"/>
                <w:color w:val="auto"/>
                <w:sz w:val="24"/>
                <w:szCs w:val="24"/>
              </w:rPr>
              <w:t>次。</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lastRenderedPageBreak/>
              <w:t>3</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电动球阀清洗检查</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确保清洗后电动球阀吸合自如，无堵塞和渗漏</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w:t>
            </w:r>
            <w:r>
              <w:rPr>
                <w:rFonts w:ascii="宋体" w:hAnsi="宋体" w:cs="宋体"/>
                <w:color w:val="auto"/>
                <w:sz w:val="24"/>
                <w:szCs w:val="24"/>
              </w:rPr>
              <w:t>2</w:t>
            </w:r>
            <w:r>
              <w:rPr>
                <w:rFonts w:ascii="宋体" w:hAnsi="宋体" w:cs="宋体" w:hint="eastAsia"/>
                <w:color w:val="auto"/>
                <w:sz w:val="24"/>
                <w:szCs w:val="24"/>
              </w:rPr>
              <w:t>月</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将电动球阀手动拆下，用试管刷清洗后，将电动球阀装回管路；开启组态单阀测试程序，单独控制阀门开关，检查阀门开关时间是否符合要求（</w:t>
            </w:r>
            <w:r>
              <w:rPr>
                <w:rFonts w:ascii="宋体" w:hAnsi="宋体" w:cs="宋体"/>
                <w:color w:val="auto"/>
                <w:sz w:val="24"/>
                <w:szCs w:val="24"/>
              </w:rPr>
              <w:t>10s</w:t>
            </w:r>
            <w:r>
              <w:rPr>
                <w:rFonts w:ascii="宋体" w:hAnsi="宋体" w:cs="宋体" w:hint="eastAsia"/>
                <w:color w:val="auto"/>
                <w:sz w:val="24"/>
                <w:szCs w:val="24"/>
              </w:rPr>
              <w:t>以内）；必要的情况替换电动球阀。</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4</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单向阀清洗</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确保清洗后电动球阀吸合自如，无堵塞和渗漏</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w:t>
            </w:r>
            <w:r>
              <w:rPr>
                <w:rFonts w:ascii="宋体" w:hAnsi="宋体" w:cs="宋体"/>
                <w:color w:val="auto"/>
                <w:sz w:val="24"/>
                <w:szCs w:val="24"/>
              </w:rPr>
              <w:t>2</w:t>
            </w:r>
            <w:r>
              <w:rPr>
                <w:rFonts w:ascii="宋体" w:hAnsi="宋体" w:cs="宋体" w:hint="eastAsia"/>
                <w:color w:val="auto"/>
                <w:sz w:val="24"/>
                <w:szCs w:val="24"/>
              </w:rPr>
              <w:t>月</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拆下单向阀，用试管刷清洗单向阀阀体及密封橡胶上附着的脏污物，检查密封性是否完好后，原样装回管路；必要情况更换单向阀。</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5</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清洗液位计</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确保液位计工作正常</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将液位计拆下，用</w:t>
            </w:r>
            <w:r>
              <w:rPr>
                <w:rFonts w:ascii="宋体" w:hAnsi="宋体" w:cs="宋体"/>
                <w:color w:val="auto"/>
                <w:sz w:val="24"/>
                <w:szCs w:val="24"/>
              </w:rPr>
              <w:t>3%</w:t>
            </w:r>
            <w:r>
              <w:rPr>
                <w:rFonts w:ascii="宋体" w:hAnsi="宋体" w:cs="宋体" w:hint="eastAsia"/>
                <w:color w:val="auto"/>
                <w:sz w:val="24"/>
                <w:szCs w:val="24"/>
              </w:rPr>
              <w:t>盐酸擦洗浮球和导杆，清除表面钙化物和污物；原样装回液位计；必要的情况更换新液位计。</w:t>
            </w:r>
          </w:p>
          <w:p w:rsidR="00B338FE" w:rsidRDefault="00B338FE">
            <w:pPr>
              <w:pStyle w:val="ad"/>
              <w:spacing w:line="276" w:lineRule="auto"/>
              <w:ind w:firstLine="240"/>
              <w:rPr>
                <w:rFonts w:ascii="宋体"/>
                <w:color w:val="auto"/>
                <w:sz w:val="24"/>
                <w:szCs w:val="24"/>
              </w:rPr>
            </w:pP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6</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液位观察管清洗</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确保液位观察管清洗透明</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拆下透明管清除脏污，用试管刷清洗干净；拆卸部件原样装回。</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7</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压力表测试</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确保清洗后压力表读数正常</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w:t>
            </w:r>
            <w:r>
              <w:rPr>
                <w:rFonts w:ascii="宋体" w:hAnsi="宋体" w:cs="宋体"/>
                <w:color w:val="auto"/>
                <w:sz w:val="24"/>
                <w:szCs w:val="24"/>
              </w:rPr>
              <w:t>2</w:t>
            </w:r>
            <w:r>
              <w:rPr>
                <w:rFonts w:ascii="宋体" w:hAnsi="宋体" w:cs="宋体" w:hint="eastAsia"/>
                <w:color w:val="auto"/>
                <w:sz w:val="24"/>
                <w:szCs w:val="24"/>
              </w:rPr>
              <w:t>月</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拆下压力表表头，清洗清除压力导管内泥沙；压缩空气吹脱表头内残留脏污；调节空压机输出压力为</w:t>
            </w:r>
            <w:r>
              <w:rPr>
                <w:rFonts w:ascii="宋体" w:hAnsi="宋体" w:cs="宋体"/>
                <w:color w:val="auto"/>
                <w:sz w:val="24"/>
                <w:szCs w:val="24"/>
              </w:rPr>
              <w:t>0.6Mpa</w:t>
            </w:r>
            <w:r>
              <w:rPr>
                <w:rFonts w:ascii="宋体" w:hAnsi="宋体" w:cs="宋体" w:hint="eastAsia"/>
                <w:color w:val="auto"/>
                <w:sz w:val="24"/>
                <w:szCs w:val="24"/>
              </w:rPr>
              <w:t>，输出气管连接到待测压力表，检查待测压力表显示是否和空压机一致，反应是否灵敏；原样装回压力表，注意气密性；必要情况更换压力表。</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8</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取水系统综合测试</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确保系统取水正</w:t>
            </w:r>
          </w:p>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常</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完成上述测试后复原所有阀门到正确位置；检查各个接头是否松动，各个电动球阀接线是否完好；检查无误情况下，系统复电，检查整个取水流程是否正常。</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9</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工控机检查</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至少</w:t>
            </w:r>
            <w:r>
              <w:rPr>
                <w:rFonts w:ascii="宋体" w:hAnsi="宋体" w:cs="宋体"/>
                <w:color w:val="auto"/>
                <w:sz w:val="24"/>
                <w:szCs w:val="24"/>
              </w:rPr>
              <w:t>2</w:t>
            </w:r>
            <w:r>
              <w:rPr>
                <w:rFonts w:ascii="宋体" w:hAnsi="宋体" w:cs="宋体" w:hint="eastAsia"/>
                <w:color w:val="auto"/>
                <w:sz w:val="24"/>
                <w:szCs w:val="24"/>
              </w:rPr>
              <w:t>月</w:t>
            </w:r>
            <w:r>
              <w:rPr>
                <w:rFonts w:ascii="宋体" w:hAnsi="宋体" w:cs="宋体"/>
                <w:color w:val="auto"/>
                <w:sz w:val="24"/>
                <w:szCs w:val="24"/>
              </w:rPr>
              <w:t>1</w:t>
            </w:r>
            <w:r>
              <w:rPr>
                <w:rFonts w:ascii="宋体" w:hAnsi="宋体" w:cs="宋体" w:hint="eastAsia"/>
                <w:color w:val="auto"/>
                <w:sz w:val="24"/>
                <w:szCs w:val="24"/>
              </w:rPr>
              <w:t>次，确保工控机运行正常</w:t>
            </w:r>
          </w:p>
        </w:tc>
        <w:tc>
          <w:tcPr>
            <w:tcW w:w="6196" w:type="dxa"/>
            <w:vAlign w:val="center"/>
          </w:tcPr>
          <w:p w:rsidR="00B338FE" w:rsidRDefault="00B11729">
            <w:pPr>
              <w:spacing w:line="276" w:lineRule="auto"/>
              <w:rPr>
                <w:rFonts w:ascii="宋体"/>
                <w:color w:val="auto"/>
                <w:sz w:val="24"/>
                <w:szCs w:val="24"/>
              </w:rPr>
            </w:pPr>
            <w:r>
              <w:rPr>
                <w:rFonts w:ascii="宋体" w:hAnsi="宋体" w:cs="宋体"/>
                <w:color w:val="auto"/>
                <w:sz w:val="24"/>
                <w:szCs w:val="24"/>
              </w:rPr>
              <w:t>1</w:t>
            </w:r>
            <w:r>
              <w:rPr>
                <w:rFonts w:ascii="宋体" w:hAnsi="宋体" w:cs="宋体" w:hint="eastAsia"/>
                <w:color w:val="auto"/>
                <w:sz w:val="24"/>
                <w:szCs w:val="24"/>
              </w:rPr>
              <w:t>）每</w:t>
            </w:r>
            <w:r>
              <w:rPr>
                <w:rFonts w:ascii="宋体" w:hAnsi="宋体" w:cs="宋体"/>
                <w:color w:val="auto"/>
                <w:sz w:val="24"/>
                <w:szCs w:val="24"/>
              </w:rPr>
              <w:t>2</w:t>
            </w:r>
            <w:r>
              <w:rPr>
                <w:rFonts w:ascii="宋体" w:hAnsi="宋体" w:cs="宋体" w:hint="eastAsia"/>
                <w:color w:val="auto"/>
                <w:sz w:val="24"/>
                <w:szCs w:val="24"/>
              </w:rPr>
              <w:t>月</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检查开机过程中硬件自检过程是否有异常数据传输和报警；强制切断电源后复电工控机是否可以自动启动，并运行</w:t>
            </w:r>
            <w:r>
              <w:rPr>
                <w:rFonts w:ascii="宋体" w:hAnsi="宋体" w:cs="宋体"/>
                <w:color w:val="auto"/>
                <w:sz w:val="24"/>
                <w:szCs w:val="24"/>
              </w:rPr>
              <w:t>windos</w:t>
            </w:r>
            <w:r>
              <w:rPr>
                <w:rFonts w:ascii="宋体" w:hAnsi="宋体" w:cs="宋体" w:hint="eastAsia"/>
                <w:color w:val="auto"/>
                <w:sz w:val="24"/>
                <w:szCs w:val="24"/>
              </w:rPr>
              <w:t>系统、加载现场监控软件，串口连接是否正常；插入备份光盘，用</w:t>
            </w:r>
            <w:r>
              <w:rPr>
                <w:rFonts w:ascii="宋体" w:hAnsi="宋体" w:cs="宋体"/>
                <w:color w:val="auto"/>
                <w:sz w:val="24"/>
                <w:szCs w:val="24"/>
              </w:rPr>
              <w:t>ghost</w:t>
            </w:r>
            <w:r>
              <w:rPr>
                <w:rFonts w:ascii="宋体" w:hAnsi="宋体" w:cs="宋体" w:hint="eastAsia"/>
                <w:color w:val="auto"/>
                <w:sz w:val="24"/>
                <w:szCs w:val="24"/>
              </w:rPr>
              <w:t>软件备份操作系统。将备份好的操作系统和分区</w:t>
            </w:r>
            <w:r>
              <w:rPr>
                <w:rFonts w:ascii="宋体" w:hAnsi="宋体" w:cs="宋体"/>
                <w:color w:val="auto"/>
                <w:sz w:val="24"/>
                <w:szCs w:val="24"/>
              </w:rPr>
              <w:t>D</w:t>
            </w:r>
            <w:r>
              <w:rPr>
                <w:rFonts w:ascii="宋体" w:hAnsi="宋体" w:cs="宋体" w:hint="eastAsia"/>
                <w:color w:val="auto"/>
                <w:sz w:val="24"/>
                <w:szCs w:val="24"/>
              </w:rPr>
              <w:t>内的文件拷贝到备份移动硬盘上；断电后拆下工控机，打开后盖，用细毛刷清；除电源和主板上的灰尘，尤其注意</w:t>
            </w:r>
            <w:r>
              <w:rPr>
                <w:rFonts w:ascii="宋体" w:hAnsi="宋体" w:cs="宋体"/>
                <w:color w:val="auto"/>
                <w:sz w:val="24"/>
                <w:szCs w:val="24"/>
              </w:rPr>
              <w:t>cpu</w:t>
            </w:r>
            <w:r>
              <w:rPr>
                <w:rFonts w:ascii="宋体" w:hAnsi="宋体" w:cs="宋体" w:hint="eastAsia"/>
                <w:color w:val="auto"/>
                <w:sz w:val="24"/>
                <w:szCs w:val="24"/>
              </w:rPr>
              <w:t>板、内存和各个串口卡上的灰尘清除。检查各个功能卡接口是否连接牢固；检查硬盘</w:t>
            </w:r>
            <w:r>
              <w:rPr>
                <w:rFonts w:ascii="宋体" w:hAnsi="宋体" w:cs="宋体"/>
                <w:color w:val="auto"/>
                <w:sz w:val="24"/>
                <w:szCs w:val="24"/>
              </w:rPr>
              <w:t>SATA</w:t>
            </w:r>
            <w:r>
              <w:rPr>
                <w:rFonts w:ascii="宋体" w:hAnsi="宋体" w:cs="宋体" w:hint="eastAsia"/>
                <w:color w:val="auto"/>
                <w:sz w:val="24"/>
                <w:szCs w:val="24"/>
              </w:rPr>
              <w:t>连接线是否松动；定期对杀毒软件升级，专机专用，禁止从事与工作无关的活动；</w:t>
            </w:r>
          </w:p>
          <w:p w:rsidR="00B338FE" w:rsidRDefault="00B11729">
            <w:pPr>
              <w:spacing w:line="276" w:lineRule="auto"/>
              <w:rPr>
                <w:rFonts w:ascii="宋体"/>
                <w:color w:val="auto"/>
                <w:sz w:val="24"/>
                <w:szCs w:val="24"/>
              </w:rPr>
            </w:pPr>
            <w:r>
              <w:rPr>
                <w:rFonts w:ascii="宋体" w:hAnsi="宋体" w:cs="宋体"/>
                <w:color w:val="auto"/>
                <w:sz w:val="24"/>
                <w:szCs w:val="24"/>
              </w:rPr>
              <w:t>2</w:t>
            </w:r>
            <w:r>
              <w:rPr>
                <w:rFonts w:ascii="宋体" w:hAnsi="宋体" w:cs="宋体" w:hint="eastAsia"/>
                <w:color w:val="auto"/>
                <w:sz w:val="24"/>
                <w:szCs w:val="24"/>
              </w:rPr>
              <w:t>）更换、维修工控机重装后需重新检查开机过程中硬件自检过程是否有异常数据传输和报警；强制切断电源后复</w:t>
            </w:r>
            <w:r>
              <w:rPr>
                <w:rFonts w:ascii="宋体" w:hAnsi="宋体" w:cs="宋体" w:hint="eastAsia"/>
                <w:color w:val="auto"/>
                <w:sz w:val="24"/>
                <w:szCs w:val="24"/>
              </w:rPr>
              <w:lastRenderedPageBreak/>
              <w:t>电工控机是否可以自动启动，并运行</w:t>
            </w:r>
            <w:r>
              <w:rPr>
                <w:rFonts w:ascii="宋体" w:hAnsi="宋体" w:cs="宋体"/>
                <w:color w:val="auto"/>
                <w:sz w:val="24"/>
                <w:szCs w:val="24"/>
              </w:rPr>
              <w:t>windos</w:t>
            </w:r>
            <w:r>
              <w:rPr>
                <w:rFonts w:ascii="宋体" w:hAnsi="宋体" w:cs="宋体" w:hint="eastAsia"/>
                <w:color w:val="auto"/>
                <w:sz w:val="24"/>
                <w:szCs w:val="24"/>
              </w:rPr>
              <w:t>系统、加载现场监控软件，串口连接是否正常</w:t>
            </w:r>
            <w:r>
              <w:rPr>
                <w:rFonts w:hint="eastAsia"/>
                <w:color w:val="auto"/>
              </w:rPr>
              <w:t>。</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lastRenderedPageBreak/>
              <w:t>10</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通讯检查</w:t>
            </w:r>
          </w:p>
        </w:tc>
        <w:tc>
          <w:tcPr>
            <w:tcW w:w="1559" w:type="dxa"/>
            <w:vMerge w:val="restart"/>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确保控制和数据上传通道畅通</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确保工控机各个串口和</w:t>
            </w:r>
            <w:r>
              <w:rPr>
                <w:rFonts w:ascii="宋体" w:hAnsi="宋体" w:cs="宋体"/>
                <w:color w:val="auto"/>
                <w:sz w:val="24"/>
                <w:szCs w:val="24"/>
              </w:rPr>
              <w:t>可编辑逻辑控制器</w:t>
            </w:r>
            <w:r>
              <w:rPr>
                <w:rFonts w:ascii="宋体" w:hAnsi="宋体" w:cs="宋体" w:hint="eastAsia"/>
                <w:color w:val="auto"/>
                <w:sz w:val="24"/>
                <w:szCs w:val="24"/>
              </w:rPr>
              <w:t>、数采仪、分析仪器连接一一对应正确且牢固；通过现场监控软件测试工控与</w:t>
            </w:r>
            <w:r>
              <w:rPr>
                <w:rFonts w:ascii="宋体" w:hAnsi="宋体" w:cs="宋体"/>
                <w:color w:val="auto"/>
                <w:sz w:val="24"/>
                <w:szCs w:val="24"/>
              </w:rPr>
              <w:t>可编辑逻辑控制器</w:t>
            </w:r>
            <w:r>
              <w:rPr>
                <w:rFonts w:ascii="宋体" w:hAnsi="宋体" w:cs="宋体" w:hint="eastAsia"/>
                <w:color w:val="auto"/>
                <w:sz w:val="24"/>
                <w:szCs w:val="24"/>
              </w:rPr>
              <w:t>及各个仪器之间是否连接正确；</w:t>
            </w:r>
            <w:r>
              <w:rPr>
                <w:rFonts w:ascii="宋体" w:hAnsi="宋体" w:cs="宋体"/>
                <w:color w:val="auto"/>
                <w:sz w:val="24"/>
                <w:szCs w:val="24"/>
              </w:rPr>
              <w:t>VPN</w:t>
            </w:r>
            <w:r>
              <w:rPr>
                <w:rFonts w:ascii="宋体" w:hAnsi="宋体" w:cs="宋体" w:hint="eastAsia"/>
                <w:color w:val="auto"/>
                <w:sz w:val="24"/>
                <w:szCs w:val="24"/>
              </w:rPr>
              <w:t>网络设备检查，保证通讯畅通；视频监控设备检查，监控视角位置。</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11</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可编辑逻辑控制器检查</w:t>
            </w:r>
          </w:p>
        </w:tc>
        <w:tc>
          <w:tcPr>
            <w:tcW w:w="1559" w:type="dxa"/>
            <w:vMerge/>
            <w:vAlign w:val="center"/>
          </w:tcPr>
          <w:p w:rsidR="00B338FE" w:rsidRDefault="00B338FE">
            <w:pPr>
              <w:spacing w:line="276" w:lineRule="auto"/>
              <w:rPr>
                <w:rFonts w:ascii="宋体"/>
                <w:color w:val="auto"/>
                <w:sz w:val="24"/>
                <w:szCs w:val="24"/>
              </w:rPr>
            </w:pP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检查</w:t>
            </w:r>
            <w:r>
              <w:rPr>
                <w:rFonts w:ascii="宋体" w:hAnsi="宋体" w:cs="宋体"/>
                <w:color w:val="auto"/>
                <w:sz w:val="24"/>
                <w:szCs w:val="24"/>
              </w:rPr>
              <w:t>可编辑逻辑控制器</w:t>
            </w:r>
            <w:r>
              <w:rPr>
                <w:rFonts w:ascii="宋体" w:hAnsi="宋体" w:cs="宋体" w:hint="eastAsia"/>
                <w:color w:val="auto"/>
                <w:sz w:val="24"/>
                <w:szCs w:val="24"/>
              </w:rPr>
              <w:t>状态数据传输和报警灯，确保无数据传输和报警；确保取水过程中</w:t>
            </w:r>
            <w:r>
              <w:rPr>
                <w:rFonts w:ascii="宋体" w:hAnsi="宋体" w:cs="宋体"/>
                <w:color w:val="auto"/>
                <w:sz w:val="24"/>
                <w:szCs w:val="24"/>
              </w:rPr>
              <w:t>可编辑逻辑控制器</w:t>
            </w:r>
            <w:r>
              <w:rPr>
                <w:rFonts w:ascii="宋体" w:hAnsi="宋体" w:cs="宋体" w:hint="eastAsia"/>
                <w:color w:val="auto"/>
                <w:sz w:val="24"/>
                <w:szCs w:val="24"/>
              </w:rPr>
              <w:t>上各个点输入输出状态正确；测量并确保</w:t>
            </w:r>
            <w:r>
              <w:rPr>
                <w:rFonts w:ascii="宋体" w:hAnsi="宋体" w:cs="宋体"/>
                <w:color w:val="auto"/>
                <w:sz w:val="24"/>
                <w:szCs w:val="24"/>
              </w:rPr>
              <w:t>可编辑逻辑控制器</w:t>
            </w:r>
            <w:r>
              <w:rPr>
                <w:rFonts w:ascii="宋体" w:hAnsi="宋体" w:cs="宋体" w:hint="eastAsia"/>
                <w:color w:val="auto"/>
                <w:sz w:val="24"/>
                <w:szCs w:val="24"/>
              </w:rPr>
              <w:t>时钟电池电压正常；必要的情况更换电池；确保</w:t>
            </w:r>
            <w:r>
              <w:rPr>
                <w:rFonts w:ascii="宋体" w:hAnsi="宋体" w:cs="宋体"/>
                <w:color w:val="auto"/>
                <w:sz w:val="24"/>
                <w:szCs w:val="24"/>
              </w:rPr>
              <w:t>可编辑逻辑控制器</w:t>
            </w:r>
            <w:r>
              <w:rPr>
                <w:rFonts w:ascii="宋体" w:hAnsi="宋体" w:cs="宋体" w:hint="eastAsia"/>
                <w:color w:val="auto"/>
                <w:sz w:val="24"/>
                <w:szCs w:val="24"/>
              </w:rPr>
              <w:t>串口模块连接牢固。</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12</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面板开关检查</w:t>
            </w:r>
          </w:p>
        </w:tc>
        <w:tc>
          <w:tcPr>
            <w:tcW w:w="1559" w:type="dxa"/>
            <w:vMerge w:val="restart"/>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确保各开关功能正常</w:t>
            </w:r>
          </w:p>
          <w:p w:rsidR="00B338FE" w:rsidRDefault="00B338FE">
            <w:pPr>
              <w:spacing w:line="276" w:lineRule="auto"/>
              <w:rPr>
                <w:rFonts w:ascii="宋体"/>
                <w:color w:val="auto"/>
                <w:sz w:val="24"/>
                <w:szCs w:val="24"/>
              </w:rPr>
            </w:pPr>
          </w:p>
          <w:p w:rsidR="00B338FE" w:rsidRDefault="00B338FE">
            <w:pPr>
              <w:spacing w:line="276" w:lineRule="auto"/>
              <w:jc w:val="center"/>
              <w:rPr>
                <w:rFonts w:ascii="宋体"/>
                <w:color w:val="auto"/>
                <w:sz w:val="24"/>
                <w:szCs w:val="24"/>
              </w:rPr>
            </w:pP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检查控制柜前面板开关和指示灯确保其工作正常。</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13</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配电板清扫</w:t>
            </w:r>
          </w:p>
        </w:tc>
        <w:tc>
          <w:tcPr>
            <w:tcW w:w="1559" w:type="dxa"/>
            <w:vMerge/>
            <w:vAlign w:val="center"/>
          </w:tcPr>
          <w:p w:rsidR="00B338FE" w:rsidRDefault="00B338FE">
            <w:pPr>
              <w:spacing w:line="276" w:lineRule="auto"/>
              <w:rPr>
                <w:rFonts w:ascii="宋体"/>
                <w:color w:val="auto"/>
                <w:sz w:val="24"/>
                <w:szCs w:val="24"/>
              </w:rPr>
            </w:pP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清扫配电板上各个元件上的灰尘等。</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14</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配电板状态检查</w:t>
            </w:r>
          </w:p>
        </w:tc>
        <w:tc>
          <w:tcPr>
            <w:tcW w:w="1559" w:type="dxa"/>
            <w:vMerge/>
            <w:vAlign w:val="center"/>
          </w:tcPr>
          <w:p w:rsidR="00B338FE" w:rsidRDefault="00B338FE">
            <w:pPr>
              <w:spacing w:line="276" w:lineRule="auto"/>
              <w:rPr>
                <w:rFonts w:ascii="宋体"/>
                <w:color w:val="auto"/>
                <w:sz w:val="24"/>
                <w:szCs w:val="24"/>
              </w:rPr>
            </w:pP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检查确保配电板上各个接线接头不松动，并清除锈蚀接头。确保各个接触器和继电器工作正常。</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15</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接地检查</w:t>
            </w:r>
          </w:p>
        </w:tc>
        <w:tc>
          <w:tcPr>
            <w:tcW w:w="1559" w:type="dxa"/>
            <w:vMerge/>
            <w:vAlign w:val="center"/>
          </w:tcPr>
          <w:p w:rsidR="00B338FE" w:rsidRDefault="00B338FE">
            <w:pPr>
              <w:spacing w:line="276" w:lineRule="auto"/>
              <w:rPr>
                <w:rFonts w:ascii="宋体"/>
                <w:color w:val="auto"/>
                <w:sz w:val="24"/>
                <w:szCs w:val="24"/>
              </w:rPr>
            </w:pP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确保各个机柜和用电器接地良好，尤其注意防雷保护器接地。</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16</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温湿度仪检查</w:t>
            </w:r>
          </w:p>
        </w:tc>
        <w:tc>
          <w:tcPr>
            <w:tcW w:w="1559" w:type="dxa"/>
            <w:vMerge/>
            <w:vAlign w:val="center"/>
          </w:tcPr>
          <w:p w:rsidR="00B338FE" w:rsidRDefault="00B338FE">
            <w:pPr>
              <w:spacing w:line="276" w:lineRule="auto"/>
              <w:rPr>
                <w:rFonts w:ascii="宋体"/>
                <w:color w:val="auto"/>
                <w:sz w:val="24"/>
                <w:szCs w:val="24"/>
              </w:rPr>
            </w:pP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检查温湿度仪是否显示合理，保证温度探头反应灵敏。</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17</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稳压电源清扫</w:t>
            </w:r>
          </w:p>
        </w:tc>
        <w:tc>
          <w:tcPr>
            <w:tcW w:w="1559" w:type="dxa"/>
            <w:vMerge/>
            <w:vAlign w:val="center"/>
          </w:tcPr>
          <w:p w:rsidR="00B338FE" w:rsidRDefault="00B338FE">
            <w:pPr>
              <w:spacing w:line="276" w:lineRule="auto"/>
              <w:rPr>
                <w:rFonts w:ascii="宋体"/>
                <w:color w:val="auto"/>
                <w:sz w:val="24"/>
                <w:szCs w:val="24"/>
              </w:rPr>
            </w:pP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断电情况下清扫稳压电源内的灰尘；检查碳刷是否正常，磨损较多情况必须更换；上电测试，确保稳压源工作正常。</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18</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UPS</w:t>
            </w:r>
            <w:r>
              <w:rPr>
                <w:rFonts w:ascii="宋体" w:hAnsi="宋体" w:cs="宋体" w:hint="eastAsia"/>
                <w:color w:val="auto"/>
                <w:sz w:val="24"/>
                <w:szCs w:val="24"/>
              </w:rPr>
              <w:t>检查清扫</w:t>
            </w:r>
          </w:p>
        </w:tc>
        <w:tc>
          <w:tcPr>
            <w:tcW w:w="1559" w:type="dxa"/>
            <w:vMerge/>
            <w:vAlign w:val="center"/>
          </w:tcPr>
          <w:p w:rsidR="00B338FE" w:rsidRDefault="00B338FE">
            <w:pPr>
              <w:spacing w:line="276" w:lineRule="auto"/>
              <w:rPr>
                <w:rFonts w:ascii="宋体"/>
                <w:color w:val="auto"/>
                <w:sz w:val="24"/>
                <w:szCs w:val="24"/>
              </w:rPr>
            </w:pP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断电情况下清扫</w:t>
            </w:r>
            <w:r>
              <w:rPr>
                <w:rFonts w:ascii="宋体" w:hAnsi="宋体" w:cs="宋体"/>
                <w:color w:val="auto"/>
                <w:sz w:val="24"/>
                <w:szCs w:val="24"/>
              </w:rPr>
              <w:t>UPS</w:t>
            </w:r>
            <w:r>
              <w:rPr>
                <w:rFonts w:ascii="宋体" w:hAnsi="宋体" w:cs="宋体" w:hint="eastAsia"/>
                <w:color w:val="auto"/>
                <w:sz w:val="24"/>
                <w:szCs w:val="24"/>
              </w:rPr>
              <w:t>各个散热孔上的灰尘；检查确保</w:t>
            </w:r>
            <w:r>
              <w:rPr>
                <w:rFonts w:ascii="宋体" w:hAnsi="宋体" w:cs="宋体"/>
                <w:color w:val="auto"/>
                <w:sz w:val="24"/>
                <w:szCs w:val="24"/>
              </w:rPr>
              <w:t>UPS</w:t>
            </w:r>
            <w:r>
              <w:rPr>
                <w:rFonts w:ascii="宋体" w:hAnsi="宋体" w:cs="宋体" w:hint="eastAsia"/>
                <w:color w:val="auto"/>
                <w:sz w:val="24"/>
                <w:szCs w:val="24"/>
              </w:rPr>
              <w:t>充放电正常。</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19</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UPS</w:t>
            </w:r>
            <w:r>
              <w:rPr>
                <w:rFonts w:ascii="宋体" w:hAnsi="宋体" w:cs="宋体" w:hint="eastAsia"/>
                <w:color w:val="auto"/>
                <w:sz w:val="24"/>
                <w:szCs w:val="24"/>
              </w:rPr>
              <w:t>电池箱清扫</w:t>
            </w:r>
          </w:p>
        </w:tc>
        <w:tc>
          <w:tcPr>
            <w:tcW w:w="1559" w:type="dxa"/>
            <w:vMerge/>
            <w:vAlign w:val="center"/>
          </w:tcPr>
          <w:p w:rsidR="00B338FE" w:rsidRDefault="00B338FE">
            <w:pPr>
              <w:spacing w:line="276" w:lineRule="auto"/>
              <w:rPr>
                <w:rFonts w:ascii="宋体"/>
                <w:color w:val="auto"/>
                <w:sz w:val="24"/>
                <w:szCs w:val="24"/>
              </w:rPr>
            </w:pP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做好绝缘措施情况下清扫</w:t>
            </w:r>
            <w:r>
              <w:rPr>
                <w:rFonts w:ascii="宋体" w:hAnsi="宋体" w:cs="宋体"/>
                <w:color w:val="auto"/>
                <w:sz w:val="24"/>
                <w:szCs w:val="24"/>
              </w:rPr>
              <w:t>UPS</w:t>
            </w:r>
            <w:r>
              <w:rPr>
                <w:rFonts w:ascii="宋体" w:hAnsi="宋体" w:cs="宋体" w:hint="eastAsia"/>
                <w:color w:val="auto"/>
                <w:sz w:val="24"/>
                <w:szCs w:val="24"/>
              </w:rPr>
              <w:t>电池箱内的灰尘；确保箱内各个电池联线接触良好牢固；确保各个电池无漏液，外观正常。</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20</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机柜台面清扫及检查</w:t>
            </w:r>
          </w:p>
        </w:tc>
        <w:tc>
          <w:tcPr>
            <w:tcW w:w="1559" w:type="dxa"/>
            <w:vMerge/>
            <w:vAlign w:val="center"/>
          </w:tcPr>
          <w:p w:rsidR="00B338FE" w:rsidRDefault="00B338FE">
            <w:pPr>
              <w:spacing w:line="276" w:lineRule="auto"/>
              <w:rPr>
                <w:rFonts w:ascii="宋体"/>
                <w:color w:val="auto"/>
                <w:sz w:val="24"/>
                <w:szCs w:val="24"/>
              </w:rPr>
            </w:pP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检查机柜台面及玻璃是否清洁；检查机柜各门是否完好。</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21</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实验区清扫</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确保室内整</w:t>
            </w:r>
            <w:r>
              <w:rPr>
                <w:rFonts w:ascii="宋体" w:hAnsi="宋体" w:cs="宋体" w:hint="eastAsia"/>
                <w:color w:val="auto"/>
                <w:sz w:val="24"/>
                <w:szCs w:val="24"/>
              </w:rPr>
              <w:lastRenderedPageBreak/>
              <w:t>齐清洁</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lastRenderedPageBreak/>
              <w:t>每周</w:t>
            </w:r>
            <w:r>
              <w:rPr>
                <w:rFonts w:ascii="宋体" w:hAnsi="宋体" w:cs="宋体"/>
                <w:color w:val="auto"/>
                <w:sz w:val="24"/>
                <w:szCs w:val="24"/>
              </w:rPr>
              <w:t>1</w:t>
            </w:r>
            <w:r>
              <w:rPr>
                <w:rFonts w:ascii="宋体" w:hAnsi="宋体" w:cs="宋体" w:hint="eastAsia"/>
                <w:color w:val="auto"/>
                <w:sz w:val="24"/>
                <w:szCs w:val="24"/>
              </w:rPr>
              <w:t>次维护工作：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lastRenderedPageBreak/>
              <w:t>保持实验区台面清洁；保持仪器设备摆放整齐；按要求存储试剂；按要求处置废液。</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lastRenderedPageBreak/>
              <w:t>22</w:t>
            </w:r>
          </w:p>
        </w:tc>
        <w:tc>
          <w:tcPr>
            <w:tcW w:w="1559"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水质超标自动采样器</w:t>
            </w:r>
          </w:p>
        </w:tc>
        <w:tc>
          <w:tcPr>
            <w:tcW w:w="1559" w:type="dxa"/>
            <w:vAlign w:val="center"/>
          </w:tcPr>
          <w:p w:rsidR="00B338FE" w:rsidRDefault="00B11729">
            <w:pPr>
              <w:spacing w:line="276" w:lineRule="auto"/>
              <w:ind w:left="360"/>
              <w:rPr>
                <w:rFonts w:ascii="宋体"/>
                <w:color w:val="auto"/>
                <w:sz w:val="24"/>
                <w:szCs w:val="24"/>
              </w:rPr>
            </w:pPr>
            <w:r>
              <w:rPr>
                <w:rFonts w:ascii="宋体" w:hAnsi="宋体" w:cs="宋体" w:hint="eastAsia"/>
                <w:color w:val="auto"/>
                <w:sz w:val="24"/>
                <w:szCs w:val="24"/>
              </w:rPr>
              <w:t>确保仪器稳定运行</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每周一次运维工作：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每周查看仪器状态参数，观察超标自动采样浓度及采样量是否与设定相符；清洗采样瓶，保持采样瓶洁净。</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 xml:space="preserve">                                                                                                                                                             </w:t>
            </w:r>
            <w:r>
              <w:rPr>
                <w:rFonts w:ascii="宋体" w:hAnsi="宋体" w:cs="宋体"/>
                <w:color w:val="auto"/>
                <w:sz w:val="24"/>
                <w:szCs w:val="24"/>
              </w:rPr>
              <w:t>23</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高锰酸盐指数分析仪</w:t>
            </w:r>
          </w:p>
        </w:tc>
        <w:tc>
          <w:tcPr>
            <w:tcW w:w="1559" w:type="dxa"/>
            <w:vMerge w:val="restart"/>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确保监测仪器所需试剂充足，管路、阀门处于正常状态，仪器电极无沾污，运行稳定，比对数据合格</w:t>
            </w:r>
          </w:p>
        </w:tc>
        <w:tc>
          <w:tcPr>
            <w:tcW w:w="6196" w:type="dxa"/>
            <w:vAlign w:val="center"/>
          </w:tcPr>
          <w:p w:rsidR="00B338FE" w:rsidRDefault="00B11729">
            <w:pPr>
              <w:spacing w:line="276" w:lineRule="auto"/>
              <w:rPr>
                <w:rFonts w:ascii="宋体"/>
                <w:color w:val="auto"/>
                <w:sz w:val="24"/>
                <w:szCs w:val="24"/>
              </w:rPr>
            </w:pPr>
            <w:r>
              <w:rPr>
                <w:rFonts w:ascii="宋体" w:hAnsi="宋体" w:cs="宋体"/>
                <w:color w:val="auto"/>
                <w:sz w:val="24"/>
                <w:szCs w:val="24"/>
              </w:rPr>
              <w:t>1</w:t>
            </w: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每周根据水质情况对测量杯、进样管路进行清洁维护；</w:t>
            </w:r>
          </w:p>
          <w:p w:rsidR="00B338FE" w:rsidRDefault="00B11729">
            <w:pPr>
              <w:spacing w:line="276" w:lineRule="auto"/>
              <w:rPr>
                <w:rFonts w:ascii="宋体"/>
                <w:color w:val="auto"/>
                <w:sz w:val="24"/>
                <w:szCs w:val="24"/>
              </w:rPr>
            </w:pPr>
            <w:r>
              <w:rPr>
                <w:rFonts w:ascii="宋体" w:hAnsi="宋体" w:cs="宋体"/>
                <w:color w:val="auto"/>
                <w:sz w:val="24"/>
                <w:szCs w:val="24"/>
              </w:rPr>
              <w:t>2</w:t>
            </w:r>
            <w:r>
              <w:rPr>
                <w:rFonts w:ascii="宋体" w:hAnsi="宋体" w:cs="宋体" w:hint="eastAsia"/>
                <w:color w:val="auto"/>
                <w:sz w:val="24"/>
                <w:szCs w:val="24"/>
              </w:rPr>
              <w:t>）定期（每月）对仪器进行量程校正，并做好记录；</w:t>
            </w:r>
          </w:p>
          <w:p w:rsidR="00B338FE" w:rsidRDefault="00B11729">
            <w:pPr>
              <w:spacing w:line="276" w:lineRule="auto"/>
              <w:rPr>
                <w:rFonts w:ascii="宋体"/>
                <w:color w:val="auto"/>
                <w:sz w:val="24"/>
                <w:szCs w:val="24"/>
              </w:rPr>
            </w:pPr>
            <w:r>
              <w:rPr>
                <w:rFonts w:ascii="宋体" w:hAnsi="宋体" w:cs="宋体"/>
                <w:color w:val="auto"/>
                <w:sz w:val="24"/>
                <w:szCs w:val="24"/>
              </w:rPr>
              <w:t>3</w:t>
            </w:r>
            <w:r>
              <w:rPr>
                <w:rFonts w:ascii="宋体" w:hAnsi="宋体" w:cs="宋体" w:hint="eastAsia"/>
                <w:color w:val="auto"/>
                <w:sz w:val="24"/>
                <w:szCs w:val="24"/>
              </w:rPr>
              <w:t>）定期更换耗材。</w:t>
            </w:r>
          </w:p>
        </w:tc>
      </w:tr>
      <w:tr w:rsidR="00B338FE">
        <w:trPr>
          <w:trHeight w:val="645"/>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24</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氨氮分析仪</w:t>
            </w:r>
          </w:p>
        </w:tc>
        <w:tc>
          <w:tcPr>
            <w:tcW w:w="1559" w:type="dxa"/>
            <w:vMerge/>
            <w:vAlign w:val="center"/>
          </w:tcPr>
          <w:p w:rsidR="00B338FE" w:rsidRDefault="00B338FE">
            <w:pPr>
              <w:spacing w:line="276" w:lineRule="auto"/>
              <w:rPr>
                <w:rFonts w:ascii="宋体"/>
                <w:color w:val="auto"/>
                <w:sz w:val="24"/>
                <w:szCs w:val="24"/>
              </w:rPr>
            </w:pP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1）每周</w:t>
            </w:r>
            <w:r>
              <w:rPr>
                <w:rFonts w:ascii="宋体" w:hAnsi="宋体" w:cs="宋体"/>
                <w:color w:val="auto"/>
                <w:sz w:val="24"/>
                <w:szCs w:val="24"/>
              </w:rPr>
              <w:t>1</w:t>
            </w:r>
            <w:r>
              <w:rPr>
                <w:rFonts w:ascii="宋体" w:hAnsi="宋体" w:cs="宋体" w:hint="eastAsia"/>
                <w:color w:val="auto"/>
                <w:sz w:val="24"/>
                <w:szCs w:val="24"/>
              </w:rPr>
              <w:t>次运维工作：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查看仪器校正结果和记录，保养电极、检查电极槽、清洗电极膜；检查管路，检查标液、清洗液和反应液液位、试剂是否变质，及时更换或填充试剂；</w:t>
            </w:r>
          </w:p>
          <w:p w:rsidR="00B338FE" w:rsidRDefault="00B11729">
            <w:pPr>
              <w:spacing w:line="276" w:lineRule="auto"/>
              <w:rPr>
                <w:rFonts w:ascii="宋体"/>
                <w:color w:val="auto"/>
                <w:sz w:val="24"/>
                <w:szCs w:val="24"/>
              </w:rPr>
            </w:pPr>
            <w:r>
              <w:rPr>
                <w:rFonts w:ascii="宋体" w:hAnsi="宋体" w:cs="宋体"/>
                <w:color w:val="auto"/>
                <w:sz w:val="24"/>
                <w:szCs w:val="24"/>
              </w:rPr>
              <w:t>2</w:t>
            </w:r>
            <w:r>
              <w:rPr>
                <w:rFonts w:ascii="宋体" w:hAnsi="宋体" w:cs="宋体" w:hint="eastAsia"/>
                <w:color w:val="auto"/>
                <w:sz w:val="24"/>
                <w:szCs w:val="24"/>
              </w:rPr>
              <w:t>）定期更换耗材。</w:t>
            </w:r>
          </w:p>
        </w:tc>
      </w:tr>
      <w:tr w:rsidR="00B338FE">
        <w:trPr>
          <w:trHeight w:val="1770"/>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25</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总磷、总氮分析仪</w:t>
            </w:r>
          </w:p>
        </w:tc>
        <w:tc>
          <w:tcPr>
            <w:tcW w:w="1559" w:type="dxa"/>
            <w:vMerge/>
            <w:vAlign w:val="center"/>
          </w:tcPr>
          <w:p w:rsidR="00B338FE" w:rsidRDefault="00B338FE">
            <w:pPr>
              <w:spacing w:line="276" w:lineRule="auto"/>
              <w:rPr>
                <w:rFonts w:ascii="宋体"/>
                <w:color w:val="auto"/>
                <w:sz w:val="24"/>
                <w:szCs w:val="24"/>
              </w:rPr>
            </w:pPr>
          </w:p>
        </w:tc>
        <w:tc>
          <w:tcPr>
            <w:tcW w:w="6196" w:type="dxa"/>
            <w:vAlign w:val="center"/>
          </w:tcPr>
          <w:p w:rsidR="00B338FE" w:rsidRDefault="00B11729">
            <w:pPr>
              <w:spacing w:line="276" w:lineRule="auto"/>
              <w:rPr>
                <w:rFonts w:ascii="宋体"/>
                <w:color w:val="auto"/>
                <w:sz w:val="24"/>
                <w:szCs w:val="24"/>
              </w:rPr>
            </w:pPr>
            <w:r>
              <w:rPr>
                <w:rFonts w:ascii="宋体" w:hAnsi="宋体" w:cs="宋体"/>
                <w:color w:val="auto"/>
                <w:sz w:val="24"/>
                <w:szCs w:val="24"/>
              </w:rPr>
              <w:t>1</w:t>
            </w: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维护工作：根据水质情况对测量杯、进样管路和八通阀进行清洁维护；按照要求定期更换钼酸、过硫酸钾试剂和混合标液，观察氢氧化钠、盐酸、硫酸、超纯水等剩余量并注意更换；量程校正时注意校正曲线“零点”数据，如明显偏高应查找试剂和清洗水纯度等；每次巡检时注意仪器面板应显示为在线遥控状态。</w:t>
            </w:r>
          </w:p>
          <w:p w:rsidR="00B338FE" w:rsidRDefault="00B11729">
            <w:pPr>
              <w:spacing w:line="276" w:lineRule="auto"/>
              <w:rPr>
                <w:rFonts w:ascii="宋体"/>
                <w:color w:val="auto"/>
                <w:sz w:val="24"/>
                <w:szCs w:val="24"/>
              </w:rPr>
            </w:pPr>
            <w:r>
              <w:rPr>
                <w:rFonts w:ascii="宋体" w:hAnsi="宋体" w:cs="宋体"/>
                <w:color w:val="auto"/>
                <w:sz w:val="24"/>
                <w:szCs w:val="24"/>
              </w:rPr>
              <w:t>2</w:t>
            </w:r>
            <w:r>
              <w:rPr>
                <w:rFonts w:ascii="宋体" w:hAnsi="宋体" w:cs="宋体" w:hint="eastAsia"/>
                <w:color w:val="auto"/>
                <w:sz w:val="24"/>
                <w:szCs w:val="24"/>
              </w:rPr>
              <w:t>）每</w:t>
            </w:r>
            <w:r>
              <w:rPr>
                <w:rFonts w:ascii="宋体" w:hAnsi="宋体" w:cs="宋体"/>
                <w:color w:val="auto"/>
                <w:sz w:val="24"/>
                <w:szCs w:val="24"/>
              </w:rPr>
              <w:t>2</w:t>
            </w:r>
            <w:r>
              <w:rPr>
                <w:rFonts w:ascii="宋体" w:hAnsi="宋体" w:cs="宋体" w:hint="eastAsia"/>
                <w:color w:val="auto"/>
                <w:sz w:val="24"/>
                <w:szCs w:val="24"/>
              </w:rPr>
              <w:t>周更换</w:t>
            </w:r>
            <w:r>
              <w:rPr>
                <w:rFonts w:ascii="宋体" w:hAnsi="宋体" w:cs="宋体"/>
                <w:color w:val="auto"/>
                <w:sz w:val="24"/>
                <w:szCs w:val="24"/>
              </w:rPr>
              <w:t>1</w:t>
            </w:r>
            <w:r>
              <w:rPr>
                <w:rFonts w:ascii="宋体" w:hAnsi="宋体" w:cs="宋体" w:hint="eastAsia"/>
                <w:color w:val="auto"/>
                <w:sz w:val="24"/>
                <w:szCs w:val="24"/>
              </w:rPr>
              <w:t>次抗坏血酸（发现变色需随时更换）；</w:t>
            </w:r>
          </w:p>
          <w:p w:rsidR="00B338FE" w:rsidRDefault="00B11729">
            <w:pPr>
              <w:spacing w:line="276" w:lineRule="auto"/>
              <w:rPr>
                <w:rFonts w:ascii="宋体"/>
                <w:color w:val="auto"/>
                <w:sz w:val="24"/>
                <w:szCs w:val="24"/>
              </w:rPr>
            </w:pPr>
            <w:r>
              <w:rPr>
                <w:rFonts w:ascii="宋体" w:hAnsi="宋体" w:cs="宋体"/>
                <w:color w:val="auto"/>
                <w:sz w:val="24"/>
                <w:szCs w:val="24"/>
              </w:rPr>
              <w:t>3</w:t>
            </w:r>
            <w:r>
              <w:rPr>
                <w:rFonts w:ascii="宋体" w:hAnsi="宋体" w:cs="宋体" w:hint="eastAsia"/>
                <w:color w:val="auto"/>
                <w:sz w:val="24"/>
                <w:szCs w:val="24"/>
              </w:rPr>
              <w:t>）定期更换耗材；</w:t>
            </w:r>
          </w:p>
          <w:p w:rsidR="00B338FE" w:rsidRDefault="00B11729">
            <w:pPr>
              <w:spacing w:line="276" w:lineRule="auto"/>
              <w:rPr>
                <w:rFonts w:ascii="宋体"/>
                <w:color w:val="auto"/>
                <w:sz w:val="24"/>
                <w:szCs w:val="24"/>
              </w:rPr>
            </w:pPr>
            <w:r>
              <w:rPr>
                <w:rFonts w:ascii="宋体" w:hAnsi="宋体" w:cs="宋体"/>
                <w:color w:val="auto"/>
                <w:sz w:val="24"/>
                <w:szCs w:val="24"/>
              </w:rPr>
              <w:t>4</w:t>
            </w:r>
            <w:r>
              <w:rPr>
                <w:rFonts w:ascii="宋体" w:hAnsi="宋体" w:cs="宋体" w:hint="eastAsia"/>
                <w:color w:val="auto"/>
                <w:sz w:val="24"/>
                <w:szCs w:val="24"/>
              </w:rPr>
              <w:t>）定期（每月）对仪器进行量程校正，并做好记录。</w:t>
            </w:r>
          </w:p>
        </w:tc>
      </w:tr>
      <w:tr w:rsidR="00B338FE">
        <w:trPr>
          <w:trHeight w:val="1446"/>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26</w:t>
            </w:r>
          </w:p>
        </w:tc>
        <w:tc>
          <w:tcPr>
            <w:tcW w:w="1559" w:type="dxa"/>
            <w:vAlign w:val="center"/>
          </w:tcPr>
          <w:p w:rsidR="00B338FE" w:rsidRDefault="00B11729">
            <w:pPr>
              <w:spacing w:line="276" w:lineRule="auto"/>
              <w:ind w:firstLineChars="100" w:firstLine="240"/>
              <w:rPr>
                <w:rFonts w:ascii="宋体"/>
                <w:color w:val="auto"/>
                <w:sz w:val="24"/>
                <w:szCs w:val="24"/>
              </w:rPr>
            </w:pPr>
            <w:r>
              <w:rPr>
                <w:rFonts w:ascii="宋体" w:hAnsi="宋体" w:cs="宋体"/>
                <w:color w:val="auto"/>
                <w:sz w:val="24"/>
                <w:szCs w:val="24"/>
              </w:rPr>
              <w:t>COD</w:t>
            </w:r>
          </w:p>
        </w:tc>
        <w:tc>
          <w:tcPr>
            <w:tcW w:w="1559"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确保监测仪器所需试剂充足，管路、阀门处于正常状态，仪器电极无沾污，运行稳定，比对数据合格</w:t>
            </w:r>
          </w:p>
        </w:tc>
        <w:tc>
          <w:tcPr>
            <w:tcW w:w="6196" w:type="dxa"/>
            <w:vAlign w:val="center"/>
          </w:tcPr>
          <w:p w:rsidR="00B338FE" w:rsidRDefault="00B11729">
            <w:pPr>
              <w:spacing w:line="276" w:lineRule="auto"/>
              <w:rPr>
                <w:rFonts w:ascii="宋体"/>
                <w:color w:val="auto"/>
                <w:sz w:val="24"/>
                <w:szCs w:val="24"/>
              </w:rPr>
            </w:pPr>
            <w:r>
              <w:rPr>
                <w:rFonts w:ascii="宋体" w:hAnsi="宋体" w:cs="宋体"/>
                <w:color w:val="auto"/>
                <w:sz w:val="24"/>
                <w:szCs w:val="24"/>
              </w:rPr>
              <w:t>1</w:t>
            </w: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次维护工作：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查看仪器校正结果和记录；检查管路，检查标液、清洗液和反应液液位、试剂是否变质，及时更换或填充试剂；</w:t>
            </w:r>
          </w:p>
          <w:p w:rsidR="00B338FE" w:rsidRDefault="00B11729">
            <w:pPr>
              <w:spacing w:line="276" w:lineRule="auto"/>
              <w:rPr>
                <w:rFonts w:ascii="宋体"/>
                <w:color w:val="auto"/>
                <w:sz w:val="24"/>
                <w:szCs w:val="24"/>
              </w:rPr>
            </w:pPr>
            <w:r>
              <w:rPr>
                <w:rFonts w:ascii="宋体" w:hAnsi="宋体" w:cs="宋体"/>
                <w:color w:val="auto"/>
                <w:sz w:val="24"/>
                <w:szCs w:val="24"/>
              </w:rPr>
              <w:t>2</w:t>
            </w:r>
            <w:r>
              <w:rPr>
                <w:rFonts w:ascii="宋体" w:hAnsi="宋体" w:cs="宋体" w:hint="eastAsia"/>
                <w:color w:val="auto"/>
                <w:sz w:val="24"/>
                <w:szCs w:val="24"/>
              </w:rPr>
              <w:t>）定期更换耗材。</w:t>
            </w:r>
          </w:p>
        </w:tc>
      </w:tr>
      <w:tr w:rsidR="00B338FE">
        <w:trPr>
          <w:trHeight w:val="1446"/>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27</w:t>
            </w:r>
          </w:p>
        </w:tc>
        <w:tc>
          <w:tcPr>
            <w:tcW w:w="1559"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水质五参数</w:t>
            </w:r>
          </w:p>
        </w:tc>
        <w:tc>
          <w:tcPr>
            <w:tcW w:w="1559"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确保监测仪器运行稳定，比对数据合格</w:t>
            </w:r>
          </w:p>
        </w:tc>
        <w:tc>
          <w:tcPr>
            <w:tcW w:w="6196" w:type="dxa"/>
            <w:vAlign w:val="center"/>
          </w:tcPr>
          <w:p w:rsidR="00B338FE" w:rsidRDefault="00B11729">
            <w:pPr>
              <w:adjustRightInd w:val="0"/>
              <w:snapToGrid w:val="0"/>
              <w:spacing w:line="276" w:lineRule="auto"/>
              <w:rPr>
                <w:rFonts w:ascii="宋体"/>
                <w:color w:val="auto"/>
                <w:sz w:val="24"/>
                <w:szCs w:val="24"/>
              </w:rPr>
            </w:pPr>
            <w:r>
              <w:rPr>
                <w:rFonts w:ascii="宋体" w:hAnsi="宋体" w:cs="宋体"/>
                <w:color w:val="auto"/>
                <w:sz w:val="24"/>
                <w:szCs w:val="24"/>
              </w:rPr>
              <w:t>1</w:t>
            </w: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次维护工作：</w:t>
            </w:r>
          </w:p>
          <w:p w:rsidR="00B338FE" w:rsidRDefault="00B11729">
            <w:pPr>
              <w:pStyle w:val="afc"/>
              <w:adjustRightInd w:val="0"/>
              <w:snapToGrid w:val="0"/>
              <w:spacing w:line="276" w:lineRule="auto"/>
              <w:ind w:firstLine="480"/>
              <w:rPr>
                <w:rFonts w:ascii="宋体" w:cs="Times New Roman"/>
                <w:sz w:val="24"/>
                <w:szCs w:val="24"/>
              </w:rPr>
            </w:pPr>
            <w:r>
              <w:rPr>
                <w:rFonts w:ascii="宋体" w:hAnsi="宋体" w:cs="宋体" w:hint="eastAsia"/>
                <w:sz w:val="24"/>
                <w:szCs w:val="24"/>
              </w:rPr>
              <w:t>清洗五参数电极，视水质情况而定，每周至少</w:t>
            </w:r>
            <w:r>
              <w:rPr>
                <w:rFonts w:ascii="宋体" w:hAnsi="宋体" w:cs="宋体"/>
                <w:sz w:val="24"/>
                <w:szCs w:val="24"/>
              </w:rPr>
              <w:t>1</w:t>
            </w:r>
            <w:r>
              <w:rPr>
                <w:rFonts w:ascii="宋体" w:hAnsi="宋体" w:cs="宋体" w:hint="eastAsia"/>
                <w:sz w:val="24"/>
                <w:szCs w:val="24"/>
              </w:rPr>
              <w:t>次；</w:t>
            </w:r>
            <w:r>
              <w:rPr>
                <w:rFonts w:ascii="宋体" w:hAnsi="宋体" w:cs="宋体"/>
                <w:sz w:val="24"/>
                <w:szCs w:val="24"/>
              </w:rPr>
              <w:t xml:space="preserve">              </w:t>
            </w:r>
          </w:p>
          <w:p w:rsidR="00B338FE" w:rsidRDefault="00B11729">
            <w:pPr>
              <w:pStyle w:val="afc"/>
              <w:numPr>
                <w:ilvl w:val="0"/>
                <w:numId w:val="1"/>
              </w:numPr>
              <w:adjustRightInd w:val="0"/>
              <w:snapToGrid w:val="0"/>
              <w:spacing w:line="276" w:lineRule="auto"/>
              <w:ind w:firstLineChars="0" w:firstLine="0"/>
              <w:rPr>
                <w:rFonts w:ascii="宋体" w:hAnsi="宋体" w:cs="宋体"/>
                <w:sz w:val="24"/>
                <w:szCs w:val="24"/>
              </w:rPr>
            </w:pPr>
            <w:r>
              <w:rPr>
                <w:rFonts w:ascii="宋体" w:hAnsi="宋体" w:cs="宋体" w:hint="eastAsia"/>
                <w:sz w:val="24"/>
                <w:szCs w:val="24"/>
              </w:rPr>
              <w:t>每月</w:t>
            </w:r>
            <w:r>
              <w:rPr>
                <w:rFonts w:ascii="宋体" w:hAnsi="宋体" w:cs="宋体"/>
                <w:sz w:val="24"/>
                <w:szCs w:val="24"/>
              </w:rPr>
              <w:t>1</w:t>
            </w:r>
            <w:r>
              <w:rPr>
                <w:rFonts w:ascii="宋体" w:hAnsi="宋体" w:cs="宋体" w:hint="eastAsia"/>
                <w:sz w:val="24"/>
                <w:szCs w:val="24"/>
              </w:rPr>
              <w:t>次：</w:t>
            </w:r>
          </w:p>
          <w:p w:rsidR="00B338FE" w:rsidRDefault="00B11729">
            <w:pPr>
              <w:pStyle w:val="afc"/>
              <w:adjustRightInd w:val="0"/>
              <w:snapToGrid w:val="0"/>
              <w:spacing w:line="276" w:lineRule="auto"/>
              <w:ind w:firstLineChars="100" w:firstLine="240"/>
              <w:rPr>
                <w:rFonts w:ascii="宋体" w:cs="Times New Roman"/>
                <w:sz w:val="24"/>
                <w:szCs w:val="24"/>
              </w:rPr>
            </w:pPr>
            <w:r>
              <w:rPr>
                <w:rFonts w:ascii="宋体" w:hAnsi="宋体" w:cs="宋体" w:hint="eastAsia"/>
                <w:sz w:val="24"/>
                <w:szCs w:val="24"/>
              </w:rPr>
              <w:t>校正</w:t>
            </w:r>
            <w:r>
              <w:rPr>
                <w:rFonts w:ascii="宋体" w:hAnsi="宋体" w:cs="宋体"/>
                <w:sz w:val="24"/>
                <w:szCs w:val="24"/>
              </w:rPr>
              <w:t>pH</w:t>
            </w:r>
            <w:r>
              <w:rPr>
                <w:rFonts w:ascii="宋体" w:hAnsi="宋体" w:cs="宋体" w:hint="eastAsia"/>
                <w:sz w:val="24"/>
                <w:szCs w:val="24"/>
              </w:rPr>
              <w:t>和溶解氧电极；用化学法清洗电导率和浊度探头。停机后复机，应重新校准；</w:t>
            </w:r>
          </w:p>
          <w:p w:rsidR="00B338FE" w:rsidRDefault="00B11729">
            <w:pPr>
              <w:spacing w:line="276" w:lineRule="auto"/>
              <w:rPr>
                <w:rFonts w:ascii="宋体"/>
                <w:color w:val="auto"/>
                <w:sz w:val="24"/>
                <w:szCs w:val="24"/>
              </w:rPr>
            </w:pPr>
            <w:r>
              <w:rPr>
                <w:rFonts w:ascii="宋体" w:hAnsi="宋体" w:cs="宋体"/>
                <w:color w:val="auto"/>
                <w:sz w:val="24"/>
                <w:szCs w:val="24"/>
              </w:rPr>
              <w:t>3</w:t>
            </w:r>
            <w:r>
              <w:rPr>
                <w:rFonts w:ascii="宋体" w:hAnsi="宋体" w:cs="宋体" w:hint="eastAsia"/>
                <w:color w:val="auto"/>
                <w:sz w:val="24"/>
                <w:szCs w:val="24"/>
              </w:rPr>
              <w:t>）定期更换耗材。</w:t>
            </w:r>
          </w:p>
        </w:tc>
      </w:tr>
      <w:tr w:rsidR="00B338FE">
        <w:trPr>
          <w:trHeight w:val="1446"/>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lastRenderedPageBreak/>
              <w:t>28</w:t>
            </w:r>
          </w:p>
        </w:tc>
        <w:tc>
          <w:tcPr>
            <w:tcW w:w="1559"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自动留样器</w:t>
            </w:r>
          </w:p>
        </w:tc>
        <w:tc>
          <w:tcPr>
            <w:tcW w:w="1559"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确保监测运行稳定</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次维护工作</w:t>
            </w:r>
            <w:r>
              <w:rPr>
                <w:rFonts w:ascii="宋体" w:hAnsi="宋体" w:cs="宋体"/>
                <w:color w:val="auto"/>
                <w:sz w:val="24"/>
                <w:szCs w:val="24"/>
              </w:rPr>
              <w:t>:</w:t>
            </w:r>
          </w:p>
          <w:p w:rsidR="00B338FE" w:rsidRDefault="00B11729">
            <w:pPr>
              <w:pStyle w:val="afc"/>
              <w:adjustRightInd w:val="0"/>
              <w:snapToGrid w:val="0"/>
              <w:spacing w:line="276" w:lineRule="auto"/>
              <w:ind w:firstLineChars="0" w:firstLine="0"/>
              <w:rPr>
                <w:rFonts w:ascii="宋体" w:cs="Times New Roman"/>
                <w:sz w:val="24"/>
                <w:szCs w:val="24"/>
              </w:rPr>
            </w:pPr>
            <w:r>
              <w:rPr>
                <w:rFonts w:ascii="宋体" w:hAnsi="宋体" w:cs="宋体" w:hint="eastAsia"/>
                <w:sz w:val="24"/>
                <w:szCs w:val="24"/>
              </w:rPr>
              <w:t>查看仪器状态参数，观察超标自动采样浓度及采样量是否与设定相符，清洗采样瓶，保持采样瓶洁净。</w:t>
            </w:r>
          </w:p>
        </w:tc>
      </w:tr>
      <w:tr w:rsidR="00B338FE">
        <w:trPr>
          <w:trHeight w:val="1446"/>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29</w:t>
            </w:r>
          </w:p>
        </w:tc>
        <w:tc>
          <w:tcPr>
            <w:tcW w:w="1559"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质控设备</w:t>
            </w:r>
          </w:p>
        </w:tc>
        <w:tc>
          <w:tcPr>
            <w:tcW w:w="1559"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确保监测仪器整洁，运行稳定</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次维护工作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定期</w:t>
            </w:r>
            <w:r>
              <w:rPr>
                <w:rFonts w:hint="eastAsia"/>
                <w:color w:val="auto"/>
              </w:rPr>
              <w:t>更换</w:t>
            </w:r>
            <w:r>
              <w:rPr>
                <w:rFonts w:ascii="宋体" w:hAnsi="宋体" w:cs="宋体" w:hint="eastAsia"/>
                <w:color w:val="auto"/>
                <w:sz w:val="24"/>
                <w:szCs w:val="24"/>
              </w:rPr>
              <w:t>试剂、耗材，校准和维护仪器。</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30</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站房</w:t>
            </w:r>
          </w:p>
        </w:tc>
        <w:tc>
          <w:tcPr>
            <w:tcW w:w="1559"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确保水站站房安全及卫生</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次维护工作：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巡查站房周边环境及供电、采配水、防雷、消防设施，确认水站电路系统、通讯线路是否正常，排除安全隐患；检查门禁系统、视频系统是否工作正常；打扫站房卫质控生，物品摆放整齐。</w:t>
            </w:r>
          </w:p>
        </w:tc>
      </w:tr>
      <w:tr w:rsidR="00B338FE">
        <w:trPr>
          <w:jc w:val="center"/>
        </w:trPr>
        <w:tc>
          <w:tcPr>
            <w:tcW w:w="785" w:type="dxa"/>
            <w:vAlign w:val="center"/>
          </w:tcPr>
          <w:p w:rsidR="00B338FE" w:rsidRDefault="00B11729">
            <w:pPr>
              <w:spacing w:line="276" w:lineRule="auto"/>
              <w:jc w:val="center"/>
              <w:rPr>
                <w:rFonts w:ascii="宋体"/>
                <w:color w:val="auto"/>
                <w:sz w:val="24"/>
                <w:szCs w:val="24"/>
              </w:rPr>
            </w:pPr>
            <w:r>
              <w:rPr>
                <w:rFonts w:ascii="宋体" w:hAnsi="宋体" w:cs="宋体"/>
                <w:color w:val="auto"/>
                <w:sz w:val="24"/>
                <w:szCs w:val="24"/>
              </w:rPr>
              <w:t>31</w:t>
            </w:r>
          </w:p>
        </w:tc>
        <w:tc>
          <w:tcPr>
            <w:tcW w:w="1559"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运维记录</w:t>
            </w:r>
          </w:p>
        </w:tc>
        <w:tc>
          <w:tcPr>
            <w:tcW w:w="1559"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保证记录填写真实、及时、完整</w:t>
            </w:r>
          </w:p>
        </w:tc>
        <w:tc>
          <w:tcPr>
            <w:tcW w:w="6196"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每周</w:t>
            </w:r>
            <w:r>
              <w:rPr>
                <w:rFonts w:ascii="宋体" w:hAnsi="宋体" w:cs="宋体"/>
                <w:color w:val="auto"/>
                <w:sz w:val="24"/>
                <w:szCs w:val="24"/>
              </w:rPr>
              <w:t>1</w:t>
            </w:r>
            <w:r>
              <w:rPr>
                <w:rFonts w:ascii="宋体" w:hAnsi="宋体" w:cs="宋体" w:hint="eastAsia"/>
                <w:color w:val="auto"/>
                <w:sz w:val="24"/>
                <w:szCs w:val="24"/>
              </w:rPr>
              <w:t>次维护工作：</w:t>
            </w:r>
          </w:p>
          <w:p w:rsidR="00B338FE" w:rsidRDefault="00B11729">
            <w:pPr>
              <w:spacing w:line="276" w:lineRule="auto"/>
              <w:rPr>
                <w:rFonts w:ascii="宋体"/>
                <w:color w:val="auto"/>
                <w:sz w:val="24"/>
                <w:szCs w:val="24"/>
              </w:rPr>
            </w:pPr>
            <w:r>
              <w:rPr>
                <w:rFonts w:ascii="宋体" w:hAnsi="宋体" w:cs="宋体" w:hint="eastAsia"/>
                <w:color w:val="auto"/>
                <w:sz w:val="24"/>
                <w:szCs w:val="24"/>
              </w:rPr>
              <w:t>按要求及时现场填写水站运维、质控等相关记录、表格。</w:t>
            </w:r>
          </w:p>
        </w:tc>
      </w:tr>
    </w:tbl>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（六）备品备件与耗材要求</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投标人须在中标后</w:t>
      </w:r>
      <w:r>
        <w:rPr>
          <w:color w:val="auto"/>
          <w:sz w:val="24"/>
          <w:szCs w:val="24"/>
        </w:rPr>
        <w:t>1</w:t>
      </w:r>
      <w:r>
        <w:rPr>
          <w:rFonts w:cs="宋体" w:hint="eastAsia"/>
          <w:color w:val="auto"/>
          <w:sz w:val="24"/>
          <w:szCs w:val="24"/>
        </w:rPr>
        <w:t>个月内提供包括常规监测因子的备机</w:t>
      </w:r>
      <w:r w:rsidR="002331B7">
        <w:rPr>
          <w:rFonts w:cs="宋体" w:hint="eastAsia"/>
          <w:color w:val="auto"/>
          <w:sz w:val="24"/>
          <w:szCs w:val="24"/>
        </w:rPr>
        <w:t>，备机品牌型号也必须通过</w:t>
      </w:r>
      <w:r w:rsidR="002331B7" w:rsidRPr="002331B7">
        <w:rPr>
          <w:rFonts w:cs="宋体" w:hint="eastAsia"/>
          <w:color w:val="auto"/>
          <w:sz w:val="24"/>
          <w:szCs w:val="24"/>
        </w:rPr>
        <w:t>中国环境监测总站</w:t>
      </w:r>
      <w:r w:rsidR="002331B7">
        <w:rPr>
          <w:rFonts w:cs="宋体" w:hint="eastAsia"/>
          <w:color w:val="auto"/>
          <w:sz w:val="24"/>
          <w:szCs w:val="24"/>
        </w:rPr>
        <w:t>的</w:t>
      </w:r>
      <w:r w:rsidR="002331B7" w:rsidRPr="002331B7">
        <w:rPr>
          <w:rFonts w:cs="宋体" w:hint="eastAsia"/>
          <w:color w:val="auto"/>
          <w:sz w:val="24"/>
          <w:szCs w:val="24"/>
        </w:rPr>
        <w:t>在线自动监测仪适用性检测</w:t>
      </w:r>
      <w:r>
        <w:rPr>
          <w:rFonts w:cs="宋体" w:hint="eastAsia"/>
          <w:color w:val="auto"/>
          <w:sz w:val="24"/>
          <w:szCs w:val="24"/>
        </w:rPr>
        <w:t>，备机数量</w:t>
      </w:r>
      <w:r>
        <w:rPr>
          <w:color w:val="auto"/>
          <w:sz w:val="24"/>
          <w:szCs w:val="24"/>
        </w:rPr>
        <w:t>1</w:t>
      </w:r>
      <w:r>
        <w:rPr>
          <w:rFonts w:cs="宋体" w:hint="eastAsia"/>
          <w:color w:val="auto"/>
          <w:sz w:val="24"/>
          <w:szCs w:val="24"/>
        </w:rPr>
        <w:t>套提供，备机监测因子应至少包含五参数（水温、</w:t>
      </w:r>
      <w:r>
        <w:rPr>
          <w:color w:val="auto"/>
          <w:sz w:val="24"/>
          <w:szCs w:val="24"/>
        </w:rPr>
        <w:t>pH</w:t>
      </w:r>
      <w:r>
        <w:rPr>
          <w:rFonts w:cs="宋体" w:hint="eastAsia"/>
          <w:color w:val="auto"/>
          <w:sz w:val="24"/>
          <w:szCs w:val="24"/>
        </w:rPr>
        <w:t>、溶解氧、浊度、电导率）、总磷、总氮、氨氮、高锰酸盐指数、化学需氧量。</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合同签订后</w:t>
      </w:r>
      <w:r>
        <w:rPr>
          <w:color w:val="auto"/>
          <w:sz w:val="24"/>
          <w:szCs w:val="24"/>
        </w:rPr>
        <w:t>1</w:t>
      </w:r>
      <w:r>
        <w:rPr>
          <w:rFonts w:cs="宋体" w:hint="eastAsia"/>
          <w:color w:val="auto"/>
          <w:sz w:val="24"/>
          <w:szCs w:val="24"/>
        </w:rPr>
        <w:t>个月内，中标人须备齐充足的备品备件，备齐</w:t>
      </w:r>
      <w:r>
        <w:rPr>
          <w:rFonts w:cs="宋体" w:hint="eastAsia"/>
          <w:color w:val="auto"/>
          <w:sz w:val="24"/>
          <w:szCs w:val="24"/>
        </w:rPr>
        <w:t>1</w:t>
      </w:r>
      <w:r>
        <w:rPr>
          <w:rFonts w:cs="宋体" w:hint="eastAsia"/>
          <w:color w:val="auto"/>
          <w:sz w:val="24"/>
          <w:szCs w:val="24"/>
        </w:rPr>
        <w:t>年的耗材。备品备件、耗材等须存放于水站所属省辖市境内办事处内或采购人指定的相应地点，随用随补充，以确保运维质量。</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签订合同后</w:t>
      </w:r>
      <w:r>
        <w:rPr>
          <w:color w:val="auto"/>
          <w:sz w:val="24"/>
          <w:szCs w:val="24"/>
        </w:rPr>
        <w:t>2</w:t>
      </w:r>
      <w:r>
        <w:rPr>
          <w:rFonts w:cs="宋体" w:hint="eastAsia"/>
          <w:color w:val="auto"/>
          <w:sz w:val="24"/>
          <w:szCs w:val="24"/>
        </w:rPr>
        <w:t>个月内，中标人需在三门峡境内成立办事处，采购人将对中标人提供的备机及耗材等相关材料进行现场核查，若核查不满足合同要求的，采购人视情况致函处罚。签订合同</w:t>
      </w:r>
      <w:r>
        <w:rPr>
          <w:color w:val="auto"/>
          <w:sz w:val="24"/>
          <w:szCs w:val="24"/>
        </w:rPr>
        <w:t>2</w:t>
      </w:r>
      <w:r>
        <w:rPr>
          <w:rFonts w:cs="宋体" w:hint="eastAsia"/>
          <w:color w:val="auto"/>
          <w:sz w:val="24"/>
          <w:szCs w:val="24"/>
        </w:rPr>
        <w:t>个月内未提供备机和耗材，采购人解除运维合同。</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（七）停机维护规定如下：</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、短时间停机（停机时间小于</w:t>
      </w:r>
      <w:r>
        <w:rPr>
          <w:color w:val="auto"/>
          <w:sz w:val="24"/>
          <w:szCs w:val="24"/>
        </w:rPr>
        <w:t>24</w:t>
      </w:r>
      <w:r>
        <w:rPr>
          <w:rFonts w:cs="宋体" w:hint="eastAsia"/>
          <w:color w:val="auto"/>
          <w:sz w:val="24"/>
          <w:szCs w:val="24"/>
        </w:rPr>
        <w:t>小时）：一般关机即可，再次运行时仪器需重新校准；</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、长时间停机（连续停机时间超过</w:t>
      </w:r>
      <w:r>
        <w:rPr>
          <w:color w:val="auto"/>
          <w:sz w:val="24"/>
          <w:szCs w:val="24"/>
        </w:rPr>
        <w:t>24</w:t>
      </w:r>
      <w:r>
        <w:rPr>
          <w:rFonts w:cs="宋体" w:hint="eastAsia"/>
          <w:color w:val="auto"/>
          <w:sz w:val="24"/>
          <w:szCs w:val="24"/>
        </w:rPr>
        <w:t>小时）：如果分析仪需要停机</w:t>
      </w:r>
      <w:r>
        <w:rPr>
          <w:color w:val="auto"/>
          <w:sz w:val="24"/>
          <w:szCs w:val="24"/>
        </w:rPr>
        <w:t>24</w:t>
      </w:r>
      <w:r>
        <w:rPr>
          <w:rFonts w:cs="宋体" w:hint="eastAsia"/>
          <w:color w:val="auto"/>
          <w:sz w:val="24"/>
          <w:szCs w:val="24"/>
        </w:rPr>
        <w:t>小时或更长时间，一般需关闭分析仪器和进样阀，关闭电源。并用蒸馏水清洗分析仪器的蠕动泵以及试剂管路；清洗测量室并排空；对于测量电极，应取下并将电极头浸入保护液中存放。停机后应将停机申请上报采购人；</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、停机期间，</w:t>
      </w:r>
      <w:r w:rsidR="00D44D81">
        <w:rPr>
          <w:rFonts w:cs="宋体" w:hint="eastAsia"/>
          <w:color w:val="auto"/>
          <w:sz w:val="24"/>
          <w:szCs w:val="24"/>
        </w:rPr>
        <w:t>中</w:t>
      </w:r>
      <w:r>
        <w:rPr>
          <w:rFonts w:cs="宋体" w:hint="eastAsia"/>
          <w:color w:val="auto"/>
          <w:sz w:val="24"/>
          <w:szCs w:val="24"/>
        </w:rPr>
        <w:t>标人委托有资质的环境监测机构开展全程序的手工采样，对化学需氧量、高锰酸盐指数、总氮、氨氮、总磷、</w:t>
      </w:r>
      <w:r>
        <w:rPr>
          <w:color w:val="auto"/>
          <w:sz w:val="24"/>
          <w:szCs w:val="24"/>
        </w:rPr>
        <w:t>pH</w:t>
      </w:r>
      <w:r>
        <w:rPr>
          <w:rFonts w:cs="宋体" w:hint="eastAsia"/>
          <w:color w:val="auto"/>
          <w:sz w:val="24"/>
          <w:szCs w:val="24"/>
        </w:rPr>
        <w:t>、溶解氧、电导率、浊度、水温进行实验室分析，每周</w:t>
      </w:r>
      <w:r>
        <w:rPr>
          <w:color w:val="auto"/>
          <w:sz w:val="24"/>
          <w:szCs w:val="24"/>
        </w:rPr>
        <w:t>2</w:t>
      </w:r>
      <w:r>
        <w:rPr>
          <w:rFonts w:cs="宋体" w:hint="eastAsia"/>
          <w:color w:val="auto"/>
          <w:sz w:val="24"/>
          <w:szCs w:val="24"/>
        </w:rPr>
        <w:t>次，两次采样间隔不小于</w:t>
      </w:r>
      <w:r>
        <w:rPr>
          <w:color w:val="auto"/>
          <w:sz w:val="24"/>
          <w:szCs w:val="24"/>
        </w:rPr>
        <w:t>24</w:t>
      </w:r>
      <w:r>
        <w:rPr>
          <w:rFonts w:cs="宋体" w:hint="eastAsia"/>
          <w:color w:val="auto"/>
          <w:sz w:val="24"/>
          <w:szCs w:val="24"/>
        </w:rPr>
        <w:t>小时；分析数据按要求上报采购人。停机期</w:t>
      </w:r>
      <w:r>
        <w:rPr>
          <w:rFonts w:cs="宋体" w:hint="eastAsia"/>
          <w:color w:val="auto"/>
          <w:sz w:val="24"/>
          <w:szCs w:val="24"/>
        </w:rPr>
        <w:lastRenderedPageBreak/>
        <w:t>间，每周进行停机维护；</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4</w:t>
      </w:r>
      <w:r>
        <w:rPr>
          <w:rFonts w:cs="宋体" w:hint="eastAsia"/>
          <w:color w:val="auto"/>
          <w:sz w:val="24"/>
          <w:szCs w:val="24"/>
        </w:rPr>
        <w:t>、水站因故停机，具备运行条件后，运维机构应及时启动水站系统运行，并保证仪器校准、测试正常，数据上传正常。</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（八）</w:t>
      </w:r>
      <w:r>
        <w:rPr>
          <w:color w:val="auto"/>
          <w:sz w:val="24"/>
          <w:szCs w:val="24"/>
        </w:rPr>
        <w:t xml:space="preserve"> </w:t>
      </w:r>
      <w:r>
        <w:rPr>
          <w:rFonts w:cs="宋体" w:hint="eastAsia"/>
          <w:color w:val="auto"/>
          <w:sz w:val="24"/>
          <w:szCs w:val="24"/>
        </w:rPr>
        <w:t>数据管理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水质自动站运行指标要求：</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、水站各分析仪器数据传输率不低于</w:t>
      </w:r>
      <w:r>
        <w:rPr>
          <w:color w:val="auto"/>
          <w:sz w:val="24"/>
          <w:szCs w:val="24"/>
        </w:rPr>
        <w:t>90%</w:t>
      </w:r>
      <w:r>
        <w:rPr>
          <w:rFonts w:cs="宋体" w:hint="eastAsia"/>
          <w:color w:val="auto"/>
          <w:sz w:val="24"/>
          <w:szCs w:val="24"/>
        </w:rPr>
        <w:t>，数据有效率不低于</w:t>
      </w:r>
      <w:r>
        <w:rPr>
          <w:color w:val="auto"/>
          <w:sz w:val="24"/>
          <w:szCs w:val="24"/>
        </w:rPr>
        <w:t>90</w:t>
      </w:r>
      <w:r>
        <w:rPr>
          <w:rFonts w:cs="宋体" w:hint="eastAsia"/>
          <w:color w:val="auto"/>
          <w:sz w:val="24"/>
          <w:szCs w:val="24"/>
        </w:rPr>
        <w:t>％（除去停水停电，性能测试及其他不可抗拒因素引起的故障）；</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、保证在运营维护管理期内，数据误差符合检测项目性能指标要求；</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、每天上午</w:t>
      </w:r>
      <w:r>
        <w:rPr>
          <w:color w:val="auto"/>
          <w:sz w:val="24"/>
          <w:szCs w:val="24"/>
        </w:rPr>
        <w:t>10:00</w:t>
      </w:r>
      <w:r>
        <w:rPr>
          <w:rFonts w:cs="宋体" w:hint="eastAsia"/>
          <w:color w:val="auto"/>
          <w:sz w:val="24"/>
          <w:szCs w:val="24"/>
        </w:rPr>
        <w:t>前，登录数据监测平台，对水站前一天的自动监测数据进行初步审核。发现异常数据时，对数据进行标记，查明原因，并做好相关记录；</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4</w:t>
      </w:r>
      <w:r>
        <w:rPr>
          <w:rFonts w:cs="宋体" w:hint="eastAsia"/>
          <w:color w:val="auto"/>
          <w:sz w:val="24"/>
          <w:szCs w:val="24"/>
        </w:rPr>
        <w:t>、当确认水站仪器正常运行，而监测数据异常，且超出历史正常水平时</w:t>
      </w:r>
      <w:r>
        <w:rPr>
          <w:color w:val="auto"/>
          <w:sz w:val="24"/>
          <w:szCs w:val="24"/>
        </w:rPr>
        <w:t xml:space="preserve">( </w:t>
      </w:r>
      <w:r>
        <w:rPr>
          <w:rFonts w:cs="宋体" w:hint="eastAsia"/>
          <w:color w:val="auto"/>
          <w:sz w:val="24"/>
          <w:szCs w:val="24"/>
        </w:rPr>
        <w:t>上年度均值</w:t>
      </w:r>
      <w:r>
        <w:rPr>
          <w:color w:val="auto"/>
          <w:sz w:val="24"/>
          <w:szCs w:val="24"/>
        </w:rPr>
        <w:t>)</w:t>
      </w:r>
      <w:r>
        <w:rPr>
          <w:rFonts w:cs="宋体" w:hint="eastAsia"/>
          <w:color w:val="auto"/>
          <w:sz w:val="24"/>
          <w:szCs w:val="24"/>
        </w:rPr>
        <w:t>，须</w:t>
      </w:r>
      <w:r>
        <w:rPr>
          <w:color w:val="auto"/>
          <w:sz w:val="24"/>
          <w:szCs w:val="24"/>
        </w:rPr>
        <w:t>2</w:t>
      </w:r>
      <w:r>
        <w:rPr>
          <w:rFonts w:cs="宋体" w:hint="eastAsia"/>
          <w:color w:val="auto"/>
          <w:sz w:val="24"/>
          <w:szCs w:val="24"/>
        </w:rPr>
        <w:t>小时内报采购人，同时继续保证系统仪器正常运行，并采集水样对化学需氧量、高锰酸盐指数、总氮、氨氮、总磷、</w:t>
      </w:r>
      <w:r>
        <w:rPr>
          <w:color w:val="auto"/>
          <w:sz w:val="24"/>
          <w:szCs w:val="24"/>
        </w:rPr>
        <w:t>pH</w:t>
      </w:r>
      <w:r>
        <w:rPr>
          <w:rFonts w:cs="宋体" w:hint="eastAsia"/>
          <w:color w:val="auto"/>
          <w:sz w:val="24"/>
          <w:szCs w:val="24"/>
        </w:rPr>
        <w:t>、溶解氧、电导率、浊度、水温进行人工比对，监测数据准确，传输畅通，比对结果及时上报采购人。</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（九）</w:t>
      </w:r>
      <w:r>
        <w:rPr>
          <w:color w:val="auto"/>
          <w:sz w:val="24"/>
          <w:szCs w:val="24"/>
        </w:rPr>
        <w:t xml:space="preserve"> </w:t>
      </w:r>
      <w:r>
        <w:rPr>
          <w:rFonts w:cs="宋体" w:hint="eastAsia"/>
          <w:color w:val="auto"/>
          <w:sz w:val="24"/>
          <w:szCs w:val="24"/>
        </w:rPr>
        <w:t>故障排除</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、投标人发现水站系统故障时应及时排除，及时上报采购人，同时委托有资质的环境监测机构做好手工采样、实验室分析等应急补救措施并填写有关情况记录；</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、投标人故障响应时间不超过</w:t>
      </w:r>
      <w:r>
        <w:rPr>
          <w:color w:val="auto"/>
          <w:sz w:val="24"/>
          <w:szCs w:val="24"/>
        </w:rPr>
        <w:t>4</w:t>
      </w:r>
      <w:r>
        <w:rPr>
          <w:rFonts w:cs="宋体" w:hint="eastAsia"/>
          <w:color w:val="auto"/>
          <w:sz w:val="24"/>
          <w:szCs w:val="24"/>
        </w:rPr>
        <w:t>小时，一般故障排除时间不超过</w:t>
      </w:r>
      <w:r>
        <w:rPr>
          <w:color w:val="auto"/>
          <w:sz w:val="24"/>
          <w:szCs w:val="24"/>
        </w:rPr>
        <w:t>24</w:t>
      </w:r>
      <w:r>
        <w:rPr>
          <w:rFonts w:cs="宋体" w:hint="eastAsia"/>
          <w:color w:val="auto"/>
          <w:sz w:val="24"/>
          <w:szCs w:val="24"/>
        </w:rPr>
        <w:t>小时，重大故障排除时间不超过</w:t>
      </w:r>
      <w:r>
        <w:rPr>
          <w:color w:val="auto"/>
          <w:sz w:val="24"/>
          <w:szCs w:val="24"/>
        </w:rPr>
        <w:t>48</w:t>
      </w:r>
      <w:r>
        <w:rPr>
          <w:rFonts w:cs="宋体" w:hint="eastAsia"/>
          <w:color w:val="auto"/>
          <w:sz w:val="24"/>
          <w:szCs w:val="24"/>
        </w:rPr>
        <w:t>小时。如故障排除时间超过</w:t>
      </w:r>
      <w:r>
        <w:rPr>
          <w:color w:val="auto"/>
          <w:sz w:val="24"/>
          <w:szCs w:val="24"/>
        </w:rPr>
        <w:t>48</w:t>
      </w:r>
      <w:r>
        <w:rPr>
          <w:rFonts w:cs="宋体" w:hint="eastAsia"/>
          <w:color w:val="auto"/>
          <w:sz w:val="24"/>
          <w:szCs w:val="24"/>
        </w:rPr>
        <w:t>小时，需提供备机或其他有效方式保证不间断的获取水站数据。超过</w:t>
      </w:r>
      <w:r>
        <w:rPr>
          <w:color w:val="auto"/>
          <w:sz w:val="24"/>
          <w:szCs w:val="24"/>
        </w:rPr>
        <w:t>48</w:t>
      </w:r>
      <w:r>
        <w:rPr>
          <w:rFonts w:cs="宋体" w:hint="eastAsia"/>
          <w:color w:val="auto"/>
          <w:sz w:val="24"/>
          <w:szCs w:val="24"/>
        </w:rPr>
        <w:t>小时的故障，以手工采样实验室分析提供数据，并在</w:t>
      </w:r>
      <w:r>
        <w:rPr>
          <w:color w:val="auto"/>
          <w:sz w:val="24"/>
          <w:szCs w:val="24"/>
        </w:rPr>
        <w:t>72</w:t>
      </w:r>
      <w:r>
        <w:rPr>
          <w:rFonts w:cs="宋体" w:hint="eastAsia"/>
          <w:color w:val="auto"/>
          <w:sz w:val="24"/>
          <w:szCs w:val="24"/>
        </w:rPr>
        <w:t>小时内使用备机；实验室分析因子应包括所有常规监测因子（化学需氧量、高锰酸盐指数、总氮、氨氮、总磷、</w:t>
      </w:r>
      <w:r>
        <w:rPr>
          <w:color w:val="auto"/>
          <w:sz w:val="24"/>
          <w:szCs w:val="24"/>
        </w:rPr>
        <w:t>pH</w:t>
      </w:r>
      <w:r>
        <w:rPr>
          <w:rFonts w:cs="宋体" w:hint="eastAsia"/>
          <w:color w:val="auto"/>
          <w:sz w:val="24"/>
          <w:szCs w:val="24"/>
        </w:rPr>
        <w:t>、溶解氧、电导率、浊度、水温）。</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（十）运维记录表格</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认真、及时做好各类记录，每季度以书面形式上报采购人，书面报告作为运行维护考核依据之一，具体包括：</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、水站日远程巡视结果记录表；</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、日巡视异常数据记录表；</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、水站巡检记录表；</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4</w:t>
      </w:r>
      <w:r>
        <w:rPr>
          <w:rFonts w:cs="宋体" w:hint="eastAsia"/>
          <w:color w:val="auto"/>
          <w:sz w:val="24"/>
          <w:szCs w:val="24"/>
        </w:rPr>
        <w:t>、水站试剂更换记录表；</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5</w:t>
      </w:r>
      <w:r>
        <w:rPr>
          <w:rFonts w:cs="宋体" w:hint="eastAsia"/>
          <w:color w:val="auto"/>
          <w:sz w:val="24"/>
          <w:szCs w:val="24"/>
        </w:rPr>
        <w:t>、水站备品备件更换记录表；</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6</w:t>
      </w:r>
      <w:r>
        <w:rPr>
          <w:rFonts w:cs="宋体" w:hint="eastAsia"/>
          <w:color w:val="auto"/>
          <w:sz w:val="24"/>
          <w:szCs w:val="24"/>
        </w:rPr>
        <w:t>、故障处理情况表；</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7</w:t>
      </w:r>
      <w:r>
        <w:rPr>
          <w:rFonts w:cs="宋体" w:hint="eastAsia"/>
          <w:color w:val="auto"/>
          <w:sz w:val="24"/>
          <w:szCs w:val="24"/>
        </w:rPr>
        <w:t>、水站质控样核查结果记录表；</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8</w:t>
      </w:r>
      <w:r>
        <w:rPr>
          <w:rFonts w:cs="宋体" w:hint="eastAsia"/>
          <w:color w:val="auto"/>
          <w:sz w:val="24"/>
          <w:szCs w:val="24"/>
        </w:rPr>
        <w:t>、月度地表水水质自动监测数据统计表。</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（十一）人员及车辆要求</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、运维人员及车辆要求</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人员和交通工具的总体配置要求：至少配置</w:t>
      </w:r>
      <w:r>
        <w:rPr>
          <w:rFonts w:hint="eastAsia"/>
          <w:color w:val="auto"/>
          <w:sz w:val="24"/>
          <w:szCs w:val="24"/>
        </w:rPr>
        <w:t>2</w:t>
      </w:r>
      <w:r>
        <w:rPr>
          <w:rFonts w:cs="宋体" w:hint="eastAsia"/>
          <w:color w:val="auto"/>
          <w:sz w:val="24"/>
          <w:szCs w:val="24"/>
        </w:rPr>
        <w:t>名运维人员，</w:t>
      </w:r>
      <w:r>
        <w:rPr>
          <w:rFonts w:cs="宋体" w:hint="eastAsia"/>
          <w:color w:val="auto"/>
          <w:sz w:val="24"/>
          <w:szCs w:val="24"/>
        </w:rPr>
        <w:t>1</w:t>
      </w:r>
      <w:r>
        <w:rPr>
          <w:rFonts w:cs="宋体" w:hint="eastAsia"/>
          <w:color w:val="auto"/>
          <w:sz w:val="24"/>
          <w:szCs w:val="24"/>
        </w:rPr>
        <w:t>名数据审核人员及</w:t>
      </w:r>
      <w:r>
        <w:rPr>
          <w:color w:val="auto"/>
          <w:sz w:val="24"/>
          <w:szCs w:val="24"/>
        </w:rPr>
        <w:t>1</w:t>
      </w:r>
      <w:r>
        <w:rPr>
          <w:rFonts w:cs="宋体" w:hint="eastAsia"/>
          <w:color w:val="auto"/>
          <w:sz w:val="24"/>
          <w:szCs w:val="24"/>
        </w:rPr>
        <w:t>辆</w:t>
      </w:r>
      <w:r>
        <w:rPr>
          <w:rFonts w:cs="宋体" w:hint="eastAsia"/>
          <w:color w:val="auto"/>
          <w:sz w:val="24"/>
          <w:szCs w:val="24"/>
        </w:rPr>
        <w:lastRenderedPageBreak/>
        <w:t>运维车。</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、人员素质及能力：现场维护人员需具备大专及以上学历，必须持有河南省生态环境</w:t>
      </w:r>
      <w:r w:rsidR="000510E6">
        <w:rPr>
          <w:rFonts w:cs="宋体" w:hint="eastAsia"/>
          <w:color w:val="auto"/>
          <w:sz w:val="24"/>
          <w:szCs w:val="24"/>
        </w:rPr>
        <w:t>部门</w:t>
      </w:r>
      <w:r w:rsidR="00D42408">
        <w:rPr>
          <w:rFonts w:cs="宋体" w:hint="eastAsia"/>
          <w:color w:val="auto"/>
          <w:sz w:val="24"/>
          <w:szCs w:val="24"/>
        </w:rPr>
        <w:t>或</w:t>
      </w:r>
      <w:r w:rsidR="00D42408" w:rsidRPr="00D42408">
        <w:rPr>
          <w:rFonts w:cs="宋体" w:hint="eastAsia"/>
          <w:color w:val="auto"/>
          <w:sz w:val="24"/>
          <w:szCs w:val="24"/>
        </w:rPr>
        <w:t>中国环境监测总站</w:t>
      </w:r>
      <w:r>
        <w:rPr>
          <w:rFonts w:cs="宋体" w:hint="eastAsia"/>
          <w:color w:val="auto"/>
          <w:sz w:val="24"/>
          <w:szCs w:val="24"/>
        </w:rPr>
        <w:t>颁发的运维资格证，有</w:t>
      </w:r>
      <w:r>
        <w:rPr>
          <w:color w:val="auto"/>
          <w:sz w:val="24"/>
          <w:szCs w:val="24"/>
        </w:rPr>
        <w:t>1</w:t>
      </w:r>
      <w:r>
        <w:rPr>
          <w:rFonts w:cs="宋体" w:hint="eastAsia"/>
          <w:color w:val="auto"/>
          <w:sz w:val="24"/>
          <w:szCs w:val="24"/>
        </w:rPr>
        <w:t>年及以上水质自动监测站运维经验，能及时发现和排除仪器故障。</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、以上人员更换时应提前</w:t>
      </w:r>
      <w:r>
        <w:rPr>
          <w:color w:val="auto"/>
          <w:sz w:val="24"/>
          <w:szCs w:val="24"/>
        </w:rPr>
        <w:t>1</w:t>
      </w:r>
      <w:r>
        <w:rPr>
          <w:rFonts w:cs="宋体" w:hint="eastAsia"/>
          <w:color w:val="auto"/>
          <w:sz w:val="24"/>
          <w:szCs w:val="24"/>
        </w:rPr>
        <w:t>个月向采购人报告并备案。</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（十二）运维安全要求</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、投标人对水站站房及配套设施安全负责。负责站房仪器设备及配套设施的安全，保证门禁系统运行正常，确保水站财产安全</w:t>
      </w:r>
      <w:r>
        <w:rPr>
          <w:rFonts w:hint="eastAsia"/>
          <w:color w:val="auto"/>
        </w:rPr>
        <w:t>；</w:t>
      </w:r>
    </w:p>
    <w:p w:rsidR="00B338FE" w:rsidRDefault="00B11729">
      <w:pPr>
        <w:widowControl w:val="0"/>
        <w:adjustRightInd w:val="0"/>
        <w:snapToGrid w:val="0"/>
        <w:spacing w:line="300" w:lineRule="auto"/>
        <w:ind w:firstLineChars="200" w:firstLine="480"/>
        <w:rPr>
          <w:rFonts w:cs="宋体"/>
          <w:color w:val="auto"/>
          <w:sz w:val="24"/>
          <w:szCs w:val="24"/>
        </w:rPr>
      </w:pPr>
      <w:r>
        <w:rPr>
          <w:color w:val="auto"/>
          <w:sz w:val="24"/>
          <w:szCs w:val="24"/>
        </w:rPr>
        <w:t>2</w:t>
      </w:r>
      <w:r>
        <w:rPr>
          <w:rFonts w:cs="宋体" w:hint="eastAsia"/>
          <w:color w:val="auto"/>
          <w:sz w:val="24"/>
          <w:szCs w:val="24"/>
        </w:rPr>
        <w:t>、投标人根据安全用电相关规定，对于水站供电，需委托具有专业资质资格证并在有效期内的电工，作为专业操作人员定期维护；</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、电源防雷，应联系专业单位进行年度检测，保证站房电源配电箱（柜）中防雷空气开关正常及电源接地线接地良好；</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4</w:t>
      </w:r>
      <w:r>
        <w:rPr>
          <w:rFonts w:cs="宋体" w:hint="eastAsia"/>
          <w:color w:val="auto"/>
          <w:sz w:val="24"/>
          <w:szCs w:val="24"/>
        </w:rPr>
        <w:t>、消防安全工作</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水站应配备定温自动灭火器或手提式干粉灭火器，按照规定经常检查，确保保险装置没有损坏或遗失，压力表指针指在绿色区域内。并且每年定期委托有资质的专业检验检测部门对水站进行消防防火检查，并将检查结果上报采购人；</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5</w:t>
      </w:r>
      <w:r>
        <w:rPr>
          <w:rFonts w:cs="宋体" w:hint="eastAsia"/>
          <w:color w:val="auto"/>
          <w:sz w:val="24"/>
          <w:szCs w:val="24"/>
        </w:rPr>
        <w:t>、负责对站房防水、采水设施维护及其他配套设施的维修及更换。</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（十三）站房防雷工作</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每年联系有资质的检测部门对站房进行一次防雷检测，检查避雷带是否脱落，接地电阻是否合格等并出具防雷检测合格报告。对防雷设施不完善的，及时进行整改，整改后再次联系有资质的检测部门进行检测并出具防雷检测合格报告。</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、对仪器设备外壳和机柜接地情况进行检测，如不符合相关技术标准要求，及时整改到位，保证接地良好；</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、做好确保</w:t>
      </w:r>
      <w:r>
        <w:rPr>
          <w:color w:val="auto"/>
          <w:sz w:val="24"/>
          <w:szCs w:val="24"/>
        </w:rPr>
        <w:t>VPN</w:t>
      </w:r>
      <w:r>
        <w:rPr>
          <w:rFonts w:cs="宋体" w:hint="eastAsia"/>
          <w:color w:val="auto"/>
          <w:sz w:val="24"/>
          <w:szCs w:val="24"/>
        </w:rPr>
        <w:t>数据传输设备、门禁系统、视频监控设施和光纤通讯线路等防雷安全防护工作。</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（十四）汛期采水系统安全工作</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每年汛期，投标人应加强日常维护，做好系统的汛前准备、汛后恢复工作。做好水站的日常维护保养，根据防汛信息采取措施，在汛期前做好准备工作。跟踪（及时）了解河水的变化情况，并制定异常情况处理预案。汛期前可根据情况将浮船等采水系统移至安全地方。防汛期间需要暂停水站运行的，须及时书面上报采购人后再实施。汛后及时恢复水站的正常运行。</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十五）委托运营维护及管理的全部资产（包括全部产权和建筑物、设备、软件、配套设施、水质自动站和配套监控系统产生的各类数据信息及相关文档资料）属采购人所有。未经采购人同意，投标人不得以任何方式对各类财产进行出售、抵押或转移；同时，在委托运营及管理期间，投标人有责任保证上述全部资产的完整、安全并处于良好状态。</w:t>
      </w:r>
    </w:p>
    <w:p w:rsidR="00B338FE" w:rsidRDefault="00AB4E3E">
      <w:pPr>
        <w:spacing w:line="500" w:lineRule="exact"/>
        <w:ind w:firstLineChars="148" w:firstLine="357"/>
        <w:rPr>
          <w:rFonts w:ascii="仿宋" w:eastAsia="仿宋"/>
          <w:b/>
          <w:bCs/>
          <w:color w:val="auto"/>
          <w:sz w:val="30"/>
          <w:szCs w:val="30"/>
        </w:rPr>
      </w:pPr>
      <w:r>
        <w:rPr>
          <w:rFonts w:ascii="黑体" w:eastAsia="黑体" w:hAnsi="黑体" w:cs="黑体" w:hint="eastAsia"/>
          <w:b/>
          <w:bCs/>
          <w:color w:val="auto"/>
          <w:sz w:val="24"/>
          <w:szCs w:val="24"/>
        </w:rPr>
        <w:t>三、</w:t>
      </w:r>
      <w:r w:rsidR="00B11729">
        <w:rPr>
          <w:rFonts w:ascii="黑体" w:eastAsia="黑体" w:hAnsi="黑体" w:cs="黑体" w:hint="eastAsia"/>
          <w:b/>
          <w:bCs/>
          <w:color w:val="auto"/>
          <w:sz w:val="24"/>
          <w:szCs w:val="24"/>
        </w:rPr>
        <w:t>运维质量管理与控制要求</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lastRenderedPageBreak/>
        <w:t>（一）运维管理方针与目标</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运行稳定、反应及时、数据准确、管理规范。</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（二）水站运行质量管理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投标人定期对本公司开展地表水自动监测人员进行技术培训和技术指导，投标人质量管理人员负责履行水站日常运行的质量管理和技术要求，确保水站质量保证和控制措施落实到位，水站数据质量准确可靠；采购人对水站质量管理工作进行监督。</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投标人负责开展运维合同内规定的其它质量控制要求。</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每日上、下午登录平台，对水站数据上传网络平台情况进行监视，确保水站运行正常；通过视频监控系统，观察水站室内、外实时状况或选择观看历史视频数据，判断是否有异常情况，并填写《水站运维值班日志》；</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、每周对水站至少进行一次现场巡检，对水站系统仪器设备进行现场质量控制，按照要求认真填报水站相关情况；</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、非巡检时间，水站系统若有异常情况发生应及时远程或到现场解决；</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4</w:t>
      </w:r>
      <w:r>
        <w:rPr>
          <w:rFonts w:cs="宋体" w:hint="eastAsia"/>
          <w:color w:val="auto"/>
          <w:sz w:val="24"/>
          <w:szCs w:val="24"/>
        </w:rPr>
        <w:t>、投标人应严格按照采购人的要求，落实水站质量管理措施。委托有资质的环境监测机构使用国家标准分析方法进行比对、标样核查监测等工作；</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5</w:t>
      </w:r>
      <w:r>
        <w:rPr>
          <w:rFonts w:cs="宋体" w:hint="eastAsia"/>
          <w:color w:val="auto"/>
          <w:sz w:val="24"/>
          <w:szCs w:val="24"/>
        </w:rPr>
        <w:t>、每月单周对化学需氧量、高锰酸盐指数、总氮、氨氮、总磷、</w:t>
      </w:r>
      <w:r>
        <w:rPr>
          <w:color w:val="auto"/>
          <w:sz w:val="24"/>
          <w:szCs w:val="24"/>
        </w:rPr>
        <w:t>pH</w:t>
      </w:r>
      <w:r>
        <w:rPr>
          <w:rFonts w:cs="宋体" w:hint="eastAsia"/>
          <w:color w:val="auto"/>
          <w:sz w:val="24"/>
          <w:szCs w:val="24"/>
        </w:rPr>
        <w:t>、溶解氧、电导率、浊度、水温的国家标准分析方法与自动监测的比对实验，自动监测数据与实验室同步分析实际水样测试数据进行比对，比对实验结果相对误差按照河南省水质自动监测数据有效性判定原则执行：</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1</w:t>
      </w:r>
      <w:r>
        <w:rPr>
          <w:rFonts w:cs="宋体" w:hint="eastAsia"/>
          <w:color w:val="auto"/>
          <w:sz w:val="24"/>
          <w:szCs w:val="24"/>
        </w:rPr>
        <w:t>）当自动监测数据和实验室监测数据同时在Ⅲ类（即</w:t>
      </w:r>
      <w:r>
        <w:rPr>
          <w:color w:val="auto"/>
          <w:sz w:val="24"/>
          <w:szCs w:val="24"/>
        </w:rPr>
        <w:t>COD</w:t>
      </w:r>
      <w:r>
        <w:rPr>
          <w:rFonts w:cs="宋体" w:hint="eastAsia"/>
          <w:color w:val="auto"/>
          <w:sz w:val="24"/>
          <w:szCs w:val="24"/>
        </w:rPr>
        <w:t>≤</w:t>
      </w:r>
      <w:r>
        <w:rPr>
          <w:color w:val="auto"/>
          <w:sz w:val="24"/>
          <w:szCs w:val="24"/>
        </w:rPr>
        <w:t>20mg/L,</w:t>
      </w:r>
      <w:r>
        <w:rPr>
          <w:rFonts w:cs="宋体" w:hint="eastAsia"/>
          <w:color w:val="auto"/>
          <w:sz w:val="24"/>
          <w:szCs w:val="24"/>
        </w:rPr>
        <w:t>氨氮≤</w:t>
      </w:r>
      <w:r>
        <w:rPr>
          <w:color w:val="auto"/>
          <w:sz w:val="24"/>
          <w:szCs w:val="24"/>
        </w:rPr>
        <w:t>1.0mg/L</w:t>
      </w:r>
      <w:r>
        <w:rPr>
          <w:rFonts w:cs="宋体" w:hint="eastAsia"/>
          <w:color w:val="auto"/>
          <w:sz w:val="24"/>
          <w:szCs w:val="24"/>
        </w:rPr>
        <w:t>，总磷≤</w:t>
      </w:r>
      <w:r>
        <w:rPr>
          <w:color w:val="auto"/>
          <w:sz w:val="24"/>
          <w:szCs w:val="24"/>
        </w:rPr>
        <w:t>0.2mg/L</w:t>
      </w:r>
      <w:r>
        <w:rPr>
          <w:rFonts w:cs="宋体" w:hint="eastAsia"/>
          <w:color w:val="auto"/>
          <w:sz w:val="24"/>
          <w:szCs w:val="24"/>
        </w:rPr>
        <w:t>）以内时，不考虑允许相对误差，认为自动监测数据有效。</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2</w:t>
      </w:r>
      <w:r>
        <w:rPr>
          <w:rFonts w:cs="宋体" w:hint="eastAsia"/>
          <w:color w:val="auto"/>
          <w:sz w:val="24"/>
          <w:szCs w:val="24"/>
        </w:rPr>
        <w:t>）当水质为Ⅳ类（</w:t>
      </w:r>
      <w:r>
        <w:rPr>
          <w:color w:val="auto"/>
          <w:sz w:val="24"/>
          <w:szCs w:val="24"/>
        </w:rPr>
        <w:t>20mg/L</w:t>
      </w:r>
      <w:r>
        <w:rPr>
          <w:rFonts w:ascii="方正书宋_GBK" w:eastAsia="方正书宋_GBK" w:hAnsi="方正书宋_GBK" w:cs="方正书宋_GBK" w:hint="eastAsia"/>
          <w:color w:val="auto"/>
          <w:sz w:val="24"/>
          <w:szCs w:val="24"/>
        </w:rPr>
        <w:t>&lt;</w:t>
      </w:r>
      <w:r>
        <w:rPr>
          <w:color w:val="auto"/>
          <w:sz w:val="24"/>
          <w:szCs w:val="24"/>
        </w:rPr>
        <w:t>COD</w:t>
      </w:r>
      <w:r>
        <w:rPr>
          <w:rFonts w:cs="宋体" w:hint="eastAsia"/>
          <w:color w:val="auto"/>
          <w:sz w:val="24"/>
          <w:szCs w:val="24"/>
        </w:rPr>
        <w:t>≤</w:t>
      </w:r>
      <w:r>
        <w:rPr>
          <w:color w:val="auto"/>
          <w:sz w:val="24"/>
          <w:szCs w:val="24"/>
        </w:rPr>
        <w:t>30mg/L</w:t>
      </w:r>
      <w:r>
        <w:rPr>
          <w:color w:val="auto"/>
          <w:sz w:val="24"/>
          <w:szCs w:val="24"/>
        </w:rPr>
        <w:t>，</w:t>
      </w:r>
      <w:r>
        <w:rPr>
          <w:color w:val="auto"/>
          <w:sz w:val="24"/>
          <w:szCs w:val="24"/>
        </w:rPr>
        <w:t>1.0mg/L</w:t>
      </w:r>
      <w:r>
        <w:rPr>
          <w:rFonts w:ascii="方正书宋_GBK" w:eastAsia="方正书宋_GBK" w:hAnsi="方正书宋_GBK" w:cs="方正书宋_GBK" w:hint="eastAsia"/>
          <w:color w:val="auto"/>
          <w:sz w:val="24"/>
          <w:szCs w:val="24"/>
        </w:rPr>
        <w:t>&lt;</w:t>
      </w:r>
      <w:r>
        <w:rPr>
          <w:rFonts w:cs="宋体" w:hint="eastAsia"/>
          <w:color w:val="auto"/>
          <w:sz w:val="24"/>
          <w:szCs w:val="24"/>
        </w:rPr>
        <w:t>氨氮≤</w:t>
      </w:r>
      <w:r>
        <w:rPr>
          <w:color w:val="auto"/>
          <w:sz w:val="24"/>
          <w:szCs w:val="24"/>
        </w:rPr>
        <w:t>1.5mg/L</w:t>
      </w:r>
      <w:r>
        <w:rPr>
          <w:color w:val="auto"/>
          <w:sz w:val="24"/>
          <w:szCs w:val="24"/>
        </w:rPr>
        <w:t>，</w:t>
      </w:r>
      <w:r>
        <w:rPr>
          <w:color w:val="auto"/>
          <w:sz w:val="24"/>
          <w:szCs w:val="24"/>
        </w:rPr>
        <w:t>0.2mg/L</w:t>
      </w:r>
      <w:r>
        <w:rPr>
          <w:rFonts w:ascii="方正书宋_GBK" w:eastAsia="方正书宋_GBK" w:hAnsi="方正书宋_GBK" w:cs="方正书宋_GBK" w:hint="eastAsia"/>
          <w:color w:val="auto"/>
          <w:sz w:val="24"/>
          <w:szCs w:val="24"/>
        </w:rPr>
        <w:t>&lt;</w:t>
      </w:r>
      <w:r>
        <w:rPr>
          <w:rFonts w:cs="宋体" w:hint="eastAsia"/>
          <w:color w:val="auto"/>
          <w:sz w:val="24"/>
          <w:szCs w:val="24"/>
        </w:rPr>
        <w:t>总磷≤</w:t>
      </w:r>
      <w:r>
        <w:rPr>
          <w:color w:val="auto"/>
          <w:sz w:val="24"/>
          <w:szCs w:val="24"/>
        </w:rPr>
        <w:t>0.3mg/L</w:t>
      </w:r>
      <w:r>
        <w:rPr>
          <w:rFonts w:cs="宋体" w:hint="eastAsia"/>
          <w:color w:val="auto"/>
          <w:sz w:val="24"/>
          <w:szCs w:val="24"/>
        </w:rPr>
        <w:t>）时，允许相对误差为</w:t>
      </w:r>
      <w:r>
        <w:rPr>
          <w:color w:val="auto"/>
          <w:sz w:val="24"/>
          <w:szCs w:val="24"/>
        </w:rPr>
        <w:t>50%</w:t>
      </w:r>
      <w:r>
        <w:rPr>
          <w:rFonts w:cs="宋体"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3</w:t>
      </w:r>
      <w:r>
        <w:rPr>
          <w:rFonts w:cs="宋体" w:hint="eastAsia"/>
          <w:color w:val="auto"/>
          <w:sz w:val="24"/>
          <w:szCs w:val="24"/>
        </w:rPr>
        <w:t>）当水质为Ⅴ类（即</w:t>
      </w:r>
      <w:r>
        <w:rPr>
          <w:color w:val="auto"/>
          <w:sz w:val="24"/>
          <w:szCs w:val="24"/>
        </w:rPr>
        <w:t>30mg/L</w:t>
      </w:r>
      <w:r>
        <w:rPr>
          <w:rFonts w:ascii="方正书宋_GBK" w:eastAsia="方正书宋_GBK" w:hAnsi="方正书宋_GBK" w:cs="方正书宋_GBK" w:hint="eastAsia"/>
          <w:color w:val="auto"/>
          <w:sz w:val="24"/>
          <w:szCs w:val="24"/>
        </w:rPr>
        <w:t>&lt;</w:t>
      </w:r>
      <w:r>
        <w:rPr>
          <w:color w:val="auto"/>
          <w:sz w:val="24"/>
          <w:szCs w:val="24"/>
        </w:rPr>
        <w:t>COD</w:t>
      </w:r>
      <w:r>
        <w:rPr>
          <w:rFonts w:cs="宋体" w:hint="eastAsia"/>
          <w:color w:val="auto"/>
          <w:sz w:val="24"/>
          <w:szCs w:val="24"/>
        </w:rPr>
        <w:t>≤</w:t>
      </w:r>
      <w:r>
        <w:rPr>
          <w:color w:val="auto"/>
          <w:sz w:val="24"/>
          <w:szCs w:val="24"/>
        </w:rPr>
        <w:t>40mg/L</w:t>
      </w:r>
      <w:r>
        <w:rPr>
          <w:color w:val="auto"/>
          <w:sz w:val="24"/>
          <w:szCs w:val="24"/>
        </w:rPr>
        <w:t>，</w:t>
      </w:r>
      <w:r>
        <w:rPr>
          <w:color w:val="auto"/>
          <w:sz w:val="24"/>
          <w:szCs w:val="24"/>
        </w:rPr>
        <w:t>1.5mg/L</w:t>
      </w:r>
      <w:r>
        <w:rPr>
          <w:rFonts w:ascii="方正书宋_GBK" w:eastAsia="方正书宋_GBK" w:hAnsi="方正书宋_GBK" w:cs="方正书宋_GBK" w:hint="eastAsia"/>
          <w:color w:val="auto"/>
          <w:sz w:val="24"/>
          <w:szCs w:val="24"/>
        </w:rPr>
        <w:t>&lt;</w:t>
      </w:r>
      <w:r>
        <w:rPr>
          <w:rFonts w:cs="宋体" w:hint="eastAsia"/>
          <w:color w:val="auto"/>
          <w:sz w:val="24"/>
          <w:szCs w:val="24"/>
        </w:rPr>
        <w:t>氨氮≤</w:t>
      </w:r>
      <w:r>
        <w:rPr>
          <w:color w:val="auto"/>
          <w:sz w:val="24"/>
          <w:szCs w:val="24"/>
        </w:rPr>
        <w:t>2mg/L</w:t>
      </w:r>
      <w:r>
        <w:rPr>
          <w:color w:val="auto"/>
          <w:sz w:val="24"/>
          <w:szCs w:val="24"/>
        </w:rPr>
        <w:t>，</w:t>
      </w:r>
      <w:r>
        <w:rPr>
          <w:color w:val="auto"/>
          <w:sz w:val="24"/>
          <w:szCs w:val="24"/>
        </w:rPr>
        <w:t>0.3mg/L</w:t>
      </w:r>
      <w:r>
        <w:rPr>
          <w:rFonts w:ascii="方正书宋_GBK" w:eastAsia="方正书宋_GBK" w:hAnsi="方正书宋_GBK" w:cs="方正书宋_GBK" w:hint="eastAsia"/>
          <w:color w:val="auto"/>
          <w:sz w:val="24"/>
          <w:szCs w:val="24"/>
        </w:rPr>
        <w:t>&lt;</w:t>
      </w:r>
      <w:r>
        <w:rPr>
          <w:rFonts w:cs="宋体" w:hint="eastAsia"/>
          <w:color w:val="auto"/>
          <w:sz w:val="24"/>
          <w:szCs w:val="24"/>
        </w:rPr>
        <w:t>总磷≤</w:t>
      </w:r>
      <w:r>
        <w:rPr>
          <w:color w:val="auto"/>
          <w:sz w:val="24"/>
          <w:szCs w:val="24"/>
        </w:rPr>
        <w:t>0.4mg/L</w:t>
      </w:r>
      <w:r>
        <w:rPr>
          <w:rFonts w:cs="宋体" w:hint="eastAsia"/>
          <w:color w:val="auto"/>
          <w:sz w:val="24"/>
          <w:szCs w:val="24"/>
        </w:rPr>
        <w:t>）时，允许相对误差为</w:t>
      </w:r>
      <w:r>
        <w:rPr>
          <w:color w:val="auto"/>
          <w:sz w:val="24"/>
          <w:szCs w:val="24"/>
        </w:rPr>
        <w:t>30%</w:t>
      </w:r>
      <w:r>
        <w:rPr>
          <w:rFonts w:cs="宋体"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4</w:t>
      </w:r>
      <w:r>
        <w:rPr>
          <w:rFonts w:cs="宋体" w:hint="eastAsia"/>
          <w:color w:val="auto"/>
          <w:sz w:val="24"/>
          <w:szCs w:val="24"/>
        </w:rPr>
        <w:t>）当水质为劣Ⅴ类（即</w:t>
      </w:r>
      <w:r>
        <w:rPr>
          <w:color w:val="auto"/>
          <w:sz w:val="24"/>
          <w:szCs w:val="24"/>
        </w:rPr>
        <w:t>COD</w:t>
      </w:r>
      <w:r>
        <w:rPr>
          <w:rFonts w:cs="宋体" w:hint="eastAsia"/>
          <w:color w:val="auto"/>
          <w:sz w:val="24"/>
          <w:szCs w:val="24"/>
        </w:rPr>
        <w:t>＞</w:t>
      </w:r>
      <w:r>
        <w:rPr>
          <w:color w:val="auto"/>
          <w:sz w:val="24"/>
          <w:szCs w:val="24"/>
        </w:rPr>
        <w:t>40mg/L,</w:t>
      </w:r>
      <w:r>
        <w:rPr>
          <w:rFonts w:cs="宋体" w:hint="eastAsia"/>
          <w:color w:val="auto"/>
          <w:sz w:val="24"/>
          <w:szCs w:val="24"/>
        </w:rPr>
        <w:t>氨氮＞</w:t>
      </w:r>
      <w:r>
        <w:rPr>
          <w:color w:val="auto"/>
          <w:sz w:val="24"/>
          <w:szCs w:val="24"/>
        </w:rPr>
        <w:t>2mg/L</w:t>
      </w:r>
      <w:r>
        <w:rPr>
          <w:rFonts w:cs="宋体" w:hint="eastAsia"/>
          <w:color w:val="auto"/>
          <w:sz w:val="24"/>
          <w:szCs w:val="24"/>
        </w:rPr>
        <w:t>，总磷＞</w:t>
      </w:r>
      <w:r>
        <w:rPr>
          <w:color w:val="auto"/>
          <w:sz w:val="24"/>
          <w:szCs w:val="24"/>
        </w:rPr>
        <w:t>0.4mg/L</w:t>
      </w:r>
      <w:r>
        <w:rPr>
          <w:rFonts w:cs="宋体" w:hint="eastAsia"/>
          <w:color w:val="auto"/>
          <w:sz w:val="24"/>
          <w:szCs w:val="24"/>
        </w:rPr>
        <w:t>）时，允许相对误差为</w:t>
      </w:r>
      <w:r>
        <w:rPr>
          <w:color w:val="auto"/>
          <w:sz w:val="24"/>
          <w:szCs w:val="24"/>
        </w:rPr>
        <w:t>20%</w:t>
      </w:r>
      <w:r>
        <w:rPr>
          <w:rFonts w:cs="宋体"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6</w:t>
      </w:r>
      <w:r>
        <w:rPr>
          <w:rFonts w:cs="宋体" w:hint="eastAsia"/>
          <w:color w:val="auto"/>
          <w:sz w:val="24"/>
          <w:szCs w:val="24"/>
        </w:rPr>
        <w:t>、每月双周对氨氮、</w:t>
      </w:r>
      <w:r>
        <w:rPr>
          <w:color w:val="auto"/>
          <w:sz w:val="24"/>
          <w:szCs w:val="24"/>
        </w:rPr>
        <w:t>COD</w:t>
      </w:r>
      <w:r>
        <w:rPr>
          <w:rFonts w:cs="宋体" w:hint="eastAsia"/>
          <w:color w:val="auto"/>
          <w:sz w:val="24"/>
          <w:szCs w:val="24"/>
        </w:rPr>
        <w:t>、总磷、总氮和高锰酸盐指数</w:t>
      </w:r>
      <w:r>
        <w:rPr>
          <w:color w:val="auto"/>
          <w:sz w:val="24"/>
          <w:szCs w:val="24"/>
        </w:rPr>
        <w:t>pH</w:t>
      </w:r>
      <w:r>
        <w:rPr>
          <w:rFonts w:cs="宋体" w:hint="eastAsia"/>
          <w:color w:val="auto"/>
          <w:sz w:val="24"/>
          <w:szCs w:val="24"/>
        </w:rPr>
        <w:t>、电导率、水温进行两次标准溶液核查，相对误差≤±</w:t>
      </w:r>
      <w:r>
        <w:rPr>
          <w:color w:val="auto"/>
          <w:sz w:val="24"/>
          <w:szCs w:val="24"/>
        </w:rPr>
        <w:t>10%</w:t>
      </w:r>
      <w:r>
        <w:rPr>
          <w:rFonts w:cs="宋体"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7</w:t>
      </w:r>
      <w:r>
        <w:rPr>
          <w:rFonts w:cs="宋体" w:hint="eastAsia"/>
          <w:color w:val="auto"/>
          <w:sz w:val="24"/>
          <w:szCs w:val="24"/>
        </w:rPr>
        <w:t>、投标人每个月对自动站监测仪器至少进行</w:t>
      </w:r>
      <w:r>
        <w:rPr>
          <w:color w:val="auto"/>
          <w:sz w:val="24"/>
          <w:szCs w:val="24"/>
        </w:rPr>
        <w:t>1</w:t>
      </w:r>
      <w:r>
        <w:rPr>
          <w:rFonts w:cs="宋体" w:hint="eastAsia"/>
          <w:color w:val="auto"/>
          <w:sz w:val="24"/>
          <w:szCs w:val="24"/>
        </w:rPr>
        <w:t>次化学需氧量、高锰酸盐指数、总氮、氨氮、总磷分析仪器零点和量程校正；</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8</w:t>
      </w:r>
      <w:r>
        <w:rPr>
          <w:rFonts w:cs="宋体" w:hint="eastAsia"/>
          <w:color w:val="auto"/>
          <w:sz w:val="24"/>
          <w:szCs w:val="24"/>
        </w:rPr>
        <w:t>、在线监测仪器每年进行一次检定或校准（含多点校准），每半年进行一次期间核查；</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9</w:t>
      </w:r>
      <w:r>
        <w:rPr>
          <w:rFonts w:cs="宋体" w:hint="eastAsia"/>
          <w:color w:val="auto"/>
          <w:sz w:val="24"/>
          <w:szCs w:val="24"/>
        </w:rPr>
        <w:t>、投标人应定期维护仪器设备，在仪器发生故障时，能及时发现和维修，修复后及时对仪器进行重新检定或校准，并进行仪器性能测试，确保监测仪器在正常状态下工作；</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10</w:t>
      </w:r>
      <w:r>
        <w:rPr>
          <w:rFonts w:cs="宋体" w:hint="eastAsia"/>
          <w:color w:val="auto"/>
          <w:sz w:val="24"/>
          <w:szCs w:val="24"/>
        </w:rPr>
        <w:t>、在线监测仪器性能测试，样品浓度为仪器量程的</w:t>
      </w:r>
      <w:r>
        <w:rPr>
          <w:color w:val="auto"/>
          <w:sz w:val="24"/>
          <w:szCs w:val="24"/>
        </w:rPr>
        <w:t>50%</w:t>
      </w:r>
      <w:r>
        <w:rPr>
          <w:rFonts w:cs="宋体" w:hint="eastAsia"/>
          <w:color w:val="auto"/>
          <w:sz w:val="24"/>
          <w:szCs w:val="24"/>
        </w:rPr>
        <w:t>，样品值可以是标准样品保</w:t>
      </w:r>
      <w:r>
        <w:rPr>
          <w:rFonts w:cs="宋体" w:hint="eastAsia"/>
          <w:color w:val="auto"/>
          <w:sz w:val="24"/>
          <w:szCs w:val="24"/>
        </w:rPr>
        <w:lastRenderedPageBreak/>
        <w:t>证值或按标准方法配制的受控样品浓度值：</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精密度：连续测定同一水样</w:t>
      </w:r>
      <w:r>
        <w:rPr>
          <w:color w:val="auto"/>
          <w:sz w:val="24"/>
          <w:szCs w:val="24"/>
        </w:rPr>
        <w:t>6</w:t>
      </w:r>
      <w:r>
        <w:rPr>
          <w:rFonts w:cs="宋体" w:hint="eastAsia"/>
          <w:color w:val="auto"/>
          <w:sz w:val="24"/>
          <w:szCs w:val="24"/>
        </w:rPr>
        <w:t>次，测定结果相对标准偏差≤±</w:t>
      </w:r>
      <w:r>
        <w:rPr>
          <w:color w:val="auto"/>
          <w:sz w:val="24"/>
          <w:szCs w:val="24"/>
        </w:rPr>
        <w:t>10%</w:t>
      </w:r>
      <w:r>
        <w:rPr>
          <w:rFonts w:cs="宋体"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准确度：连续测定同一标准样品</w:t>
      </w:r>
      <w:r>
        <w:rPr>
          <w:color w:val="auto"/>
          <w:sz w:val="24"/>
          <w:szCs w:val="24"/>
        </w:rPr>
        <w:t>6</w:t>
      </w:r>
      <w:r>
        <w:rPr>
          <w:rFonts w:cs="宋体" w:hint="eastAsia"/>
          <w:color w:val="auto"/>
          <w:sz w:val="24"/>
          <w:szCs w:val="24"/>
        </w:rPr>
        <w:t>次，测定结果相对误差≤±</w:t>
      </w:r>
      <w:r>
        <w:rPr>
          <w:color w:val="auto"/>
          <w:sz w:val="24"/>
          <w:szCs w:val="24"/>
        </w:rPr>
        <w:t>10%</w:t>
      </w:r>
      <w:r>
        <w:rPr>
          <w:rFonts w:cs="宋体"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11</w:t>
      </w:r>
      <w:r>
        <w:rPr>
          <w:rFonts w:cs="宋体" w:hint="eastAsia"/>
          <w:color w:val="auto"/>
          <w:sz w:val="24"/>
          <w:szCs w:val="24"/>
        </w:rPr>
        <w:t>、投标人每年对监测仪器进行</w:t>
      </w:r>
      <w:r>
        <w:rPr>
          <w:color w:val="auto"/>
          <w:sz w:val="24"/>
          <w:szCs w:val="24"/>
        </w:rPr>
        <w:t>1</w:t>
      </w:r>
      <w:r>
        <w:rPr>
          <w:rFonts w:cs="宋体" w:hint="eastAsia"/>
          <w:color w:val="auto"/>
          <w:sz w:val="24"/>
          <w:szCs w:val="24"/>
        </w:rPr>
        <w:t>次</w:t>
      </w:r>
      <w:r>
        <w:rPr>
          <w:color w:val="auto"/>
          <w:sz w:val="24"/>
          <w:szCs w:val="24"/>
        </w:rPr>
        <w:t>3-5</w:t>
      </w:r>
      <w:r>
        <w:rPr>
          <w:rFonts w:cs="宋体" w:hint="eastAsia"/>
          <w:color w:val="auto"/>
          <w:sz w:val="24"/>
          <w:szCs w:val="24"/>
        </w:rPr>
        <w:t>个浓度点的多点校准，每半年进行一次线性核查；</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12</w:t>
      </w:r>
      <w:r>
        <w:rPr>
          <w:rFonts w:cs="宋体" w:hint="eastAsia"/>
          <w:color w:val="auto"/>
          <w:sz w:val="24"/>
          <w:szCs w:val="24"/>
        </w:rPr>
        <w:t>、如有生态环境部、中国环境监测总站、河南省生态环境厅、三门峡市生态环境局颁发的新规范、标准及管理办法，按新要求执行。</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（三）试剂质量要求</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水站所用试剂必须为分析纯或优级纯级别，且未失效；所用纯水或超纯水须达到相关技术要求。</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标准溶液和试剂的配制按计量认证的要求进行。</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标准贮备液在冷藏柜（</w:t>
      </w:r>
      <w:r>
        <w:rPr>
          <w:color w:val="auto"/>
          <w:sz w:val="24"/>
          <w:szCs w:val="24"/>
        </w:rPr>
        <w:t>4</w:t>
      </w:r>
      <w:r>
        <w:rPr>
          <w:rFonts w:cs="宋体" w:hint="eastAsia"/>
          <w:color w:val="auto"/>
          <w:sz w:val="24"/>
          <w:szCs w:val="24"/>
        </w:rPr>
        <w:t>℃）中保存期限一般不得超过一年。</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标准使用液在冷藏柜（</w:t>
      </w:r>
      <w:r>
        <w:rPr>
          <w:color w:val="auto"/>
          <w:sz w:val="24"/>
          <w:szCs w:val="24"/>
        </w:rPr>
        <w:t>4</w:t>
      </w:r>
      <w:r>
        <w:rPr>
          <w:rFonts w:cs="宋体" w:hint="eastAsia"/>
          <w:color w:val="auto"/>
          <w:sz w:val="24"/>
          <w:szCs w:val="24"/>
        </w:rPr>
        <w:t>℃）中贮存期除有明确的规定外，一般不得超过三个月，或根据需要临用现配。</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水站仪器所用试剂更换周期应根据试剂稳定性有所区别，一般不超过两星期，最长不得超过一个月。总磷仪器所用抗坏血酸试剂必须每半月更换一次（发现变色需随时更换）。</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（四）质量控制监督检查</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采购人视情况组织对投标人运维水站的运行情况、自动监测数据质量进行定期或不定期的检查。</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（五）运行异常情况报告</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发生下列情况导致水站不能正常运行的，投标人应及时向采购人报告并采取相应措施</w:t>
      </w:r>
      <w:r>
        <w:rPr>
          <w:rFonts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、水站当地进行建设施工，水站在短期内无法运行的；</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、水站当地供电系统发生故障，影响水质报告发布的；</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、取水河段断流、河槽改道无法取水；</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4</w:t>
      </w:r>
      <w:r>
        <w:rPr>
          <w:rFonts w:cs="宋体" w:hint="eastAsia"/>
          <w:color w:val="auto"/>
          <w:sz w:val="24"/>
          <w:szCs w:val="24"/>
        </w:rPr>
        <w:t>、水站系统发生故障，在短时间内不能恢复的；</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5</w:t>
      </w:r>
      <w:r>
        <w:rPr>
          <w:rFonts w:cs="宋体" w:hint="eastAsia"/>
          <w:color w:val="auto"/>
          <w:sz w:val="24"/>
          <w:szCs w:val="24"/>
        </w:rPr>
        <w:t>、水站上游人为采取措施，阻断来水，影响水质监测的；</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6</w:t>
      </w:r>
      <w:r>
        <w:rPr>
          <w:rFonts w:cs="宋体" w:hint="eastAsia"/>
          <w:color w:val="auto"/>
          <w:sz w:val="24"/>
          <w:szCs w:val="24"/>
        </w:rPr>
        <w:t>、水质自动站出现系统或仪器故障，导致连续超过</w:t>
      </w:r>
      <w:r>
        <w:rPr>
          <w:color w:val="auto"/>
          <w:sz w:val="24"/>
          <w:szCs w:val="24"/>
        </w:rPr>
        <w:t>48</w:t>
      </w:r>
      <w:r>
        <w:rPr>
          <w:rFonts w:cs="宋体" w:hint="eastAsia"/>
          <w:color w:val="auto"/>
          <w:sz w:val="24"/>
          <w:szCs w:val="24"/>
        </w:rPr>
        <w:t>小时没有自动监测数据时，中标人须提供备机。</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因客观原因导致水质自动站停运，超过</w:t>
      </w:r>
      <w:r>
        <w:rPr>
          <w:color w:val="auto"/>
          <w:sz w:val="24"/>
          <w:szCs w:val="24"/>
        </w:rPr>
        <w:t>3</w:t>
      </w:r>
      <w:r>
        <w:rPr>
          <w:rFonts w:cs="宋体" w:hint="eastAsia"/>
          <w:color w:val="auto"/>
          <w:sz w:val="24"/>
          <w:szCs w:val="24"/>
        </w:rPr>
        <w:t>天无自动监测数据时，中标人每周必须委托有资质的环境监测机构进行最少</w:t>
      </w:r>
      <w:r>
        <w:rPr>
          <w:color w:val="auto"/>
          <w:sz w:val="24"/>
          <w:szCs w:val="24"/>
        </w:rPr>
        <w:t>2</w:t>
      </w:r>
      <w:r>
        <w:rPr>
          <w:rFonts w:cs="宋体" w:hint="eastAsia"/>
          <w:color w:val="auto"/>
          <w:sz w:val="24"/>
          <w:szCs w:val="24"/>
        </w:rPr>
        <w:t>次化学需氧量、高锰酸盐指数、总氮、氨氮、总磷、</w:t>
      </w:r>
      <w:r>
        <w:rPr>
          <w:color w:val="auto"/>
          <w:sz w:val="24"/>
          <w:szCs w:val="24"/>
        </w:rPr>
        <w:t>pH</w:t>
      </w:r>
      <w:r>
        <w:rPr>
          <w:rFonts w:cs="宋体" w:hint="eastAsia"/>
          <w:color w:val="auto"/>
          <w:sz w:val="24"/>
          <w:szCs w:val="24"/>
        </w:rPr>
        <w:t>、溶解氧、电导率、浊度、水温实验室分析测试。</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在线分析仪器及水站各系统备品备件、易耗品按要求进行定时更换和随坏随换并承担费用。</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（六）水站运维质量技术档案管理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投标人每季度将水站运维质量技术档案整理归档，每季度结束将水站监测相关数据刻盘保存。</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lastRenderedPageBreak/>
        <w:t>（七）水站运维质量控制计划和报告。</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投标人应按要求认真编写水站运维质量控制计划和报告，并建立水站质控管理档案。</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、按照要求编写水站运维年度质量保证工作计划并报送采购人；</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、每月结束编写、报送水站运维质量保证工作月报和自查报告；</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、每季度结束编写水站季度运维报告报送采购人；</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4</w:t>
      </w:r>
      <w:r>
        <w:rPr>
          <w:rFonts w:cs="宋体" w:hint="eastAsia"/>
          <w:color w:val="auto"/>
          <w:sz w:val="24"/>
          <w:szCs w:val="24"/>
        </w:rPr>
        <w:t>、每年度结束前</w:t>
      </w:r>
      <w:r>
        <w:rPr>
          <w:color w:val="auto"/>
          <w:sz w:val="24"/>
          <w:szCs w:val="24"/>
        </w:rPr>
        <w:t>15</w:t>
      </w:r>
      <w:r>
        <w:rPr>
          <w:rFonts w:cs="宋体" w:hint="eastAsia"/>
          <w:color w:val="auto"/>
          <w:sz w:val="24"/>
          <w:szCs w:val="24"/>
        </w:rPr>
        <w:t>日，编写、报送当年度水站运维质量保证工作总结。包括年度质量保证工作计划、各项质控措施实施情况的记录，水站日常数据检查处理情况、标液及试剂配制情况、每周巡检情况、仪器维修校正情况、标准溶液的核查结果、比对实验的结果、自动监测系统日常运行情况等和年度质量保证工作总结。</w:t>
      </w:r>
    </w:p>
    <w:p w:rsidR="00B338FE" w:rsidRDefault="00925E13">
      <w:pPr>
        <w:adjustRightInd w:val="0"/>
        <w:snapToGrid w:val="0"/>
        <w:spacing w:beforeLines="50" w:before="156" w:line="300" w:lineRule="auto"/>
        <w:ind w:firstLineChars="200" w:firstLine="482"/>
        <w:rPr>
          <w:rFonts w:ascii="黑体" w:eastAsia="黑体" w:hAnsi="黑体"/>
          <w:b/>
          <w:bCs/>
          <w:color w:val="auto"/>
          <w:sz w:val="24"/>
          <w:szCs w:val="24"/>
        </w:rPr>
      </w:pPr>
      <w:r>
        <w:rPr>
          <w:rFonts w:ascii="黑体" w:eastAsia="黑体" w:hAnsi="黑体" w:cs="黑体" w:hint="eastAsia"/>
          <w:b/>
          <w:bCs/>
          <w:color w:val="auto"/>
          <w:sz w:val="24"/>
          <w:szCs w:val="24"/>
        </w:rPr>
        <w:t>四</w:t>
      </w:r>
      <w:r w:rsidR="00B11729">
        <w:rPr>
          <w:rFonts w:ascii="黑体" w:eastAsia="黑体" w:hAnsi="黑体" w:cs="黑体" w:hint="eastAsia"/>
          <w:b/>
          <w:bCs/>
          <w:color w:val="auto"/>
          <w:sz w:val="24"/>
          <w:szCs w:val="24"/>
        </w:rPr>
        <w:t>、监督考核内容及要求</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采购人组织开展运维管理和质控考核，对达不到运维要求或违规操作的，采购人依据合同扣减相应的运维费，并有权终止运维合同。</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每</w:t>
      </w:r>
      <w:r>
        <w:rPr>
          <w:rFonts w:cs="宋体" w:hint="eastAsia"/>
          <w:color w:val="auto"/>
          <w:sz w:val="24"/>
          <w:szCs w:val="24"/>
        </w:rPr>
        <w:t>3</w:t>
      </w:r>
      <w:r>
        <w:rPr>
          <w:rFonts w:cs="宋体" w:hint="eastAsia"/>
          <w:color w:val="auto"/>
          <w:sz w:val="24"/>
          <w:szCs w:val="24"/>
        </w:rPr>
        <w:t>个月绩效考核一次，以单月单个水站为单位进行。考核采取百分制、单站考核的方式，主要包括单个站点运行率、数据有效率、数据审核率及运维管理。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考核满分为</w:t>
      </w:r>
      <w:r>
        <w:rPr>
          <w:color w:val="auto"/>
          <w:sz w:val="24"/>
          <w:szCs w:val="24"/>
        </w:rPr>
        <w:t>100</w:t>
      </w:r>
      <w:r>
        <w:rPr>
          <w:rFonts w:cs="宋体" w:hint="eastAsia"/>
          <w:color w:val="auto"/>
          <w:sz w:val="24"/>
          <w:szCs w:val="24"/>
        </w:rPr>
        <w:t>分，其中水站运维质量（运行率、数据有效率、数据审核率）</w:t>
      </w:r>
      <w:r>
        <w:rPr>
          <w:color w:val="auto"/>
          <w:sz w:val="24"/>
          <w:szCs w:val="24"/>
        </w:rPr>
        <w:t>30</w:t>
      </w:r>
      <w:r>
        <w:rPr>
          <w:rFonts w:cs="宋体" w:hint="eastAsia"/>
          <w:color w:val="auto"/>
          <w:sz w:val="24"/>
          <w:szCs w:val="24"/>
        </w:rPr>
        <w:t>分，运维管理</w:t>
      </w:r>
      <w:r>
        <w:rPr>
          <w:color w:val="auto"/>
          <w:sz w:val="24"/>
          <w:szCs w:val="24"/>
        </w:rPr>
        <w:t>70</w:t>
      </w:r>
      <w:r>
        <w:rPr>
          <w:rFonts w:cs="宋体" w:hint="eastAsia"/>
          <w:color w:val="auto"/>
          <w:sz w:val="24"/>
          <w:szCs w:val="24"/>
        </w:rPr>
        <w:t>分（单项分值扣完为止）。</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即考核总分＝运维质量得分＋运维管理得分</w:t>
      </w:r>
    </w:p>
    <w:p w:rsidR="00B338FE" w:rsidRDefault="00B11729">
      <w:pPr>
        <w:jc w:val="center"/>
        <w:rPr>
          <w:color w:val="auto"/>
        </w:rPr>
      </w:pPr>
      <w:r>
        <w:rPr>
          <w:rFonts w:cs="宋体" w:hint="eastAsia"/>
          <w:color w:val="auto"/>
        </w:rPr>
        <w:t>考核评分表</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1"/>
        <w:gridCol w:w="1250"/>
        <w:gridCol w:w="3148"/>
        <w:gridCol w:w="3260"/>
      </w:tblGrid>
      <w:tr w:rsidR="00B338FE">
        <w:trPr>
          <w:trHeight w:val="288"/>
          <w:jc w:val="center"/>
        </w:trPr>
        <w:tc>
          <w:tcPr>
            <w:tcW w:w="1981"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考核依据</w:t>
            </w:r>
          </w:p>
        </w:tc>
        <w:tc>
          <w:tcPr>
            <w:tcW w:w="1250"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得分≥</w:t>
            </w:r>
            <w:r>
              <w:rPr>
                <w:rFonts w:ascii="宋体" w:hAnsi="宋体" w:cs="宋体"/>
                <w:color w:val="auto"/>
                <w:sz w:val="24"/>
                <w:szCs w:val="24"/>
              </w:rPr>
              <w:t>90</w:t>
            </w:r>
          </w:p>
        </w:tc>
        <w:tc>
          <w:tcPr>
            <w:tcW w:w="3148"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85≤得分＜</w:t>
            </w:r>
            <w:r>
              <w:rPr>
                <w:rFonts w:ascii="宋体" w:hAnsi="宋体" w:cs="宋体"/>
                <w:color w:val="auto"/>
                <w:sz w:val="24"/>
                <w:szCs w:val="24"/>
              </w:rPr>
              <w:t>90</w:t>
            </w:r>
          </w:p>
        </w:tc>
        <w:tc>
          <w:tcPr>
            <w:tcW w:w="3260" w:type="dxa"/>
            <w:vAlign w:val="center"/>
          </w:tcPr>
          <w:p w:rsidR="00B338FE" w:rsidRDefault="00B11729">
            <w:pPr>
              <w:spacing w:line="276" w:lineRule="auto"/>
              <w:jc w:val="center"/>
              <w:rPr>
                <w:rFonts w:ascii="宋体"/>
                <w:color w:val="auto"/>
                <w:sz w:val="24"/>
                <w:szCs w:val="24"/>
              </w:rPr>
            </w:pPr>
            <w:r>
              <w:rPr>
                <w:rFonts w:ascii="宋体" w:hAnsi="宋体" w:cs="宋体" w:hint="eastAsia"/>
                <w:color w:val="auto"/>
                <w:sz w:val="24"/>
                <w:szCs w:val="24"/>
              </w:rPr>
              <w:t>得分＜</w:t>
            </w:r>
            <w:r>
              <w:rPr>
                <w:rFonts w:ascii="宋体" w:hAnsi="宋体" w:cs="宋体"/>
                <w:color w:val="auto"/>
                <w:sz w:val="24"/>
                <w:szCs w:val="24"/>
              </w:rPr>
              <w:t>85</w:t>
            </w:r>
          </w:p>
        </w:tc>
      </w:tr>
      <w:tr w:rsidR="00B338FE">
        <w:trPr>
          <w:trHeight w:val="542"/>
          <w:jc w:val="center"/>
        </w:trPr>
        <w:tc>
          <w:tcPr>
            <w:tcW w:w="1981"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单站数据有效率</w:t>
            </w:r>
          </w:p>
        </w:tc>
        <w:tc>
          <w:tcPr>
            <w:tcW w:w="1250"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合格</w:t>
            </w:r>
          </w:p>
        </w:tc>
        <w:tc>
          <w:tcPr>
            <w:tcW w:w="3148"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初级警告，扣除</w:t>
            </w:r>
            <w:r>
              <w:rPr>
                <w:rFonts w:ascii="宋体" w:hAnsi="宋体" w:cs="宋体"/>
                <w:color w:val="auto"/>
                <w:sz w:val="24"/>
                <w:szCs w:val="24"/>
              </w:rPr>
              <w:t>10%</w:t>
            </w:r>
            <w:r>
              <w:rPr>
                <w:rFonts w:ascii="宋体" w:hAnsi="宋体" w:cs="宋体" w:hint="eastAsia"/>
                <w:color w:val="auto"/>
                <w:sz w:val="24"/>
                <w:szCs w:val="24"/>
              </w:rPr>
              <w:t>运维费用</w:t>
            </w:r>
          </w:p>
        </w:tc>
        <w:tc>
          <w:tcPr>
            <w:tcW w:w="3260"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警告，扣除单站</w:t>
            </w:r>
            <w:r>
              <w:rPr>
                <w:rFonts w:ascii="宋体" w:hAnsi="宋体" w:cs="宋体"/>
                <w:color w:val="auto"/>
                <w:sz w:val="24"/>
                <w:szCs w:val="24"/>
              </w:rPr>
              <w:t>20%</w:t>
            </w:r>
            <w:r>
              <w:rPr>
                <w:rFonts w:ascii="宋体" w:hAnsi="宋体" w:cs="宋体" w:hint="eastAsia"/>
                <w:color w:val="auto"/>
                <w:sz w:val="24"/>
                <w:szCs w:val="24"/>
              </w:rPr>
              <w:t>运维费用</w:t>
            </w:r>
          </w:p>
        </w:tc>
      </w:tr>
      <w:tr w:rsidR="00B338FE">
        <w:trPr>
          <w:trHeight w:val="542"/>
          <w:jc w:val="center"/>
        </w:trPr>
        <w:tc>
          <w:tcPr>
            <w:tcW w:w="1981"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单站运行率</w:t>
            </w:r>
          </w:p>
        </w:tc>
        <w:tc>
          <w:tcPr>
            <w:tcW w:w="1250"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合格</w:t>
            </w:r>
          </w:p>
        </w:tc>
        <w:tc>
          <w:tcPr>
            <w:tcW w:w="3148"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初级警告，扣除</w:t>
            </w:r>
            <w:r>
              <w:rPr>
                <w:rFonts w:ascii="宋体" w:hAnsi="宋体" w:cs="宋体"/>
                <w:color w:val="auto"/>
                <w:sz w:val="24"/>
                <w:szCs w:val="24"/>
              </w:rPr>
              <w:t>10%</w:t>
            </w:r>
            <w:r>
              <w:rPr>
                <w:rFonts w:ascii="宋体" w:hAnsi="宋体" w:cs="宋体" w:hint="eastAsia"/>
                <w:color w:val="auto"/>
                <w:sz w:val="24"/>
                <w:szCs w:val="24"/>
              </w:rPr>
              <w:t>运维费用</w:t>
            </w:r>
          </w:p>
        </w:tc>
        <w:tc>
          <w:tcPr>
            <w:tcW w:w="3260"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警告，扣除单站</w:t>
            </w:r>
            <w:r>
              <w:rPr>
                <w:rFonts w:ascii="宋体" w:hAnsi="宋体" w:cs="宋体"/>
                <w:color w:val="auto"/>
                <w:sz w:val="24"/>
                <w:szCs w:val="24"/>
              </w:rPr>
              <w:t>20%</w:t>
            </w:r>
            <w:r>
              <w:rPr>
                <w:rFonts w:ascii="宋体" w:hAnsi="宋体" w:cs="宋体" w:hint="eastAsia"/>
                <w:color w:val="auto"/>
                <w:sz w:val="24"/>
                <w:szCs w:val="24"/>
              </w:rPr>
              <w:t>运维费用</w:t>
            </w:r>
          </w:p>
        </w:tc>
      </w:tr>
      <w:tr w:rsidR="00B338FE">
        <w:trPr>
          <w:trHeight w:val="527"/>
          <w:jc w:val="center"/>
        </w:trPr>
        <w:tc>
          <w:tcPr>
            <w:tcW w:w="1981"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单因子数据有效率</w:t>
            </w:r>
          </w:p>
        </w:tc>
        <w:tc>
          <w:tcPr>
            <w:tcW w:w="1250"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合格</w:t>
            </w:r>
          </w:p>
        </w:tc>
        <w:tc>
          <w:tcPr>
            <w:tcW w:w="3148"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初级警告，扣除</w:t>
            </w:r>
            <w:r>
              <w:rPr>
                <w:rFonts w:ascii="宋体" w:hAnsi="宋体" w:cs="宋体"/>
                <w:color w:val="auto"/>
                <w:sz w:val="24"/>
                <w:szCs w:val="24"/>
              </w:rPr>
              <w:t>10%</w:t>
            </w:r>
            <w:r>
              <w:rPr>
                <w:rFonts w:ascii="宋体" w:hAnsi="宋体" w:cs="宋体" w:hint="eastAsia"/>
                <w:color w:val="auto"/>
                <w:sz w:val="24"/>
                <w:szCs w:val="24"/>
              </w:rPr>
              <w:t>运维费用</w:t>
            </w:r>
          </w:p>
        </w:tc>
        <w:tc>
          <w:tcPr>
            <w:tcW w:w="3260"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警告，扣除单站</w:t>
            </w:r>
            <w:r>
              <w:rPr>
                <w:rFonts w:ascii="宋体" w:hAnsi="宋体" w:cs="宋体"/>
                <w:color w:val="auto"/>
                <w:sz w:val="24"/>
                <w:szCs w:val="24"/>
              </w:rPr>
              <w:t>20%</w:t>
            </w:r>
            <w:r>
              <w:rPr>
                <w:rFonts w:ascii="宋体" w:hAnsi="宋体" w:cs="宋体" w:hint="eastAsia"/>
                <w:color w:val="auto"/>
                <w:sz w:val="24"/>
                <w:szCs w:val="24"/>
              </w:rPr>
              <w:t>运维费用</w:t>
            </w:r>
          </w:p>
        </w:tc>
      </w:tr>
      <w:tr w:rsidR="00B338FE">
        <w:trPr>
          <w:trHeight w:val="527"/>
          <w:jc w:val="center"/>
        </w:trPr>
        <w:tc>
          <w:tcPr>
            <w:tcW w:w="1981"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单因子运行率</w:t>
            </w:r>
          </w:p>
        </w:tc>
        <w:tc>
          <w:tcPr>
            <w:tcW w:w="1250"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合格</w:t>
            </w:r>
          </w:p>
        </w:tc>
        <w:tc>
          <w:tcPr>
            <w:tcW w:w="3148"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初级警告，扣除</w:t>
            </w:r>
            <w:r>
              <w:rPr>
                <w:rFonts w:ascii="宋体" w:hAnsi="宋体" w:cs="宋体"/>
                <w:color w:val="auto"/>
                <w:sz w:val="24"/>
                <w:szCs w:val="24"/>
              </w:rPr>
              <w:t>10%</w:t>
            </w:r>
            <w:r>
              <w:rPr>
                <w:rFonts w:ascii="宋体" w:hAnsi="宋体" w:cs="宋体" w:hint="eastAsia"/>
                <w:color w:val="auto"/>
                <w:sz w:val="24"/>
                <w:szCs w:val="24"/>
              </w:rPr>
              <w:t>运维费用</w:t>
            </w:r>
          </w:p>
        </w:tc>
        <w:tc>
          <w:tcPr>
            <w:tcW w:w="3260"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警告，扣除单站</w:t>
            </w:r>
            <w:r>
              <w:rPr>
                <w:rFonts w:ascii="宋体" w:hAnsi="宋体" w:cs="宋体"/>
                <w:color w:val="auto"/>
                <w:sz w:val="24"/>
                <w:szCs w:val="24"/>
              </w:rPr>
              <w:t>20%</w:t>
            </w:r>
            <w:r>
              <w:rPr>
                <w:rFonts w:ascii="宋体" w:hAnsi="宋体" w:cs="宋体" w:hint="eastAsia"/>
                <w:color w:val="auto"/>
                <w:sz w:val="24"/>
                <w:szCs w:val="24"/>
              </w:rPr>
              <w:t>运维费用</w:t>
            </w:r>
          </w:p>
        </w:tc>
      </w:tr>
      <w:tr w:rsidR="00B338FE">
        <w:trPr>
          <w:trHeight w:val="527"/>
          <w:jc w:val="center"/>
        </w:trPr>
        <w:tc>
          <w:tcPr>
            <w:tcW w:w="1981"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总数据有效率</w:t>
            </w:r>
          </w:p>
        </w:tc>
        <w:tc>
          <w:tcPr>
            <w:tcW w:w="1250"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合格</w:t>
            </w:r>
          </w:p>
        </w:tc>
        <w:tc>
          <w:tcPr>
            <w:tcW w:w="3148"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初级警告，扣除总金额</w:t>
            </w:r>
            <w:r>
              <w:rPr>
                <w:rFonts w:ascii="宋体" w:hAnsi="宋体" w:cs="宋体"/>
                <w:color w:val="auto"/>
                <w:sz w:val="24"/>
                <w:szCs w:val="24"/>
              </w:rPr>
              <w:t>10%</w:t>
            </w:r>
            <w:r>
              <w:rPr>
                <w:rFonts w:ascii="宋体" w:hAnsi="宋体" w:cs="宋体" w:hint="eastAsia"/>
                <w:color w:val="auto"/>
                <w:sz w:val="24"/>
                <w:szCs w:val="24"/>
              </w:rPr>
              <w:t>运维费用</w:t>
            </w:r>
          </w:p>
        </w:tc>
        <w:tc>
          <w:tcPr>
            <w:tcW w:w="3260"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解除合同</w:t>
            </w:r>
          </w:p>
        </w:tc>
      </w:tr>
      <w:tr w:rsidR="00B338FE">
        <w:trPr>
          <w:trHeight w:val="497"/>
          <w:jc w:val="center"/>
        </w:trPr>
        <w:tc>
          <w:tcPr>
            <w:tcW w:w="1981"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总运行率</w:t>
            </w:r>
          </w:p>
        </w:tc>
        <w:tc>
          <w:tcPr>
            <w:tcW w:w="1250"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合格</w:t>
            </w:r>
          </w:p>
        </w:tc>
        <w:tc>
          <w:tcPr>
            <w:tcW w:w="3148"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初级警告，扣除总金额</w:t>
            </w:r>
            <w:r>
              <w:rPr>
                <w:rFonts w:ascii="宋体" w:hAnsi="宋体" w:cs="宋体"/>
                <w:color w:val="auto"/>
                <w:sz w:val="24"/>
                <w:szCs w:val="24"/>
              </w:rPr>
              <w:t>10%</w:t>
            </w:r>
            <w:r>
              <w:rPr>
                <w:rFonts w:ascii="宋体" w:hAnsi="宋体" w:cs="宋体" w:hint="eastAsia"/>
                <w:color w:val="auto"/>
                <w:sz w:val="24"/>
                <w:szCs w:val="24"/>
              </w:rPr>
              <w:t>运维费用</w:t>
            </w:r>
          </w:p>
        </w:tc>
        <w:tc>
          <w:tcPr>
            <w:tcW w:w="3260" w:type="dxa"/>
            <w:vAlign w:val="center"/>
          </w:tcPr>
          <w:p w:rsidR="00B338FE" w:rsidRDefault="00B11729">
            <w:pPr>
              <w:spacing w:line="276" w:lineRule="auto"/>
              <w:rPr>
                <w:rFonts w:ascii="宋体"/>
                <w:color w:val="auto"/>
                <w:sz w:val="24"/>
                <w:szCs w:val="24"/>
              </w:rPr>
            </w:pPr>
            <w:r>
              <w:rPr>
                <w:rFonts w:ascii="宋体" w:hAnsi="宋体" w:cs="宋体" w:hint="eastAsia"/>
                <w:color w:val="auto"/>
                <w:sz w:val="24"/>
                <w:szCs w:val="24"/>
              </w:rPr>
              <w:t>解除合同</w:t>
            </w:r>
          </w:p>
        </w:tc>
      </w:tr>
    </w:tbl>
    <w:p w:rsidR="00B338FE" w:rsidRDefault="00B338FE">
      <w:pPr>
        <w:pStyle w:val="22"/>
        <w:rPr>
          <w:color w:val="auto"/>
        </w:rPr>
      </w:pPr>
    </w:p>
    <w:p w:rsidR="00B338FE" w:rsidRDefault="00B11729">
      <w:pPr>
        <w:pStyle w:val="ad"/>
        <w:snapToGrid w:val="0"/>
        <w:spacing w:line="500" w:lineRule="exact"/>
        <w:ind w:firstLineChars="0" w:firstLine="0"/>
        <w:rPr>
          <w:color w:val="auto"/>
          <w:sz w:val="24"/>
          <w:szCs w:val="24"/>
        </w:rPr>
      </w:pPr>
      <w:r>
        <w:rPr>
          <w:rFonts w:cs="宋体" w:hint="eastAsia"/>
          <w:color w:val="auto"/>
          <w:sz w:val="24"/>
          <w:szCs w:val="24"/>
        </w:rPr>
        <w:t>（一）运维质量考核（</w:t>
      </w:r>
      <w:r>
        <w:rPr>
          <w:color w:val="auto"/>
          <w:sz w:val="24"/>
          <w:szCs w:val="24"/>
        </w:rPr>
        <w:t>30</w:t>
      </w:r>
      <w:r>
        <w:rPr>
          <w:rFonts w:cs="宋体" w:hint="eastAsia"/>
          <w:color w:val="auto"/>
          <w:sz w:val="24"/>
          <w:szCs w:val="24"/>
        </w:rPr>
        <w:t>分）</w:t>
      </w:r>
    </w:p>
    <w:p w:rsidR="00B338FE" w:rsidRDefault="00B11729">
      <w:pPr>
        <w:spacing w:line="500" w:lineRule="exact"/>
        <w:ind w:firstLine="640"/>
        <w:rPr>
          <w:color w:val="auto"/>
          <w:sz w:val="24"/>
          <w:szCs w:val="24"/>
        </w:rPr>
      </w:pPr>
      <w:r>
        <w:rPr>
          <w:noProof/>
          <w:color w:val="auto"/>
        </w:rPr>
        <w:drawing>
          <wp:anchor distT="0" distB="0" distL="114300" distR="114300" simplePos="0" relativeHeight="251659264" behindDoc="0" locked="0" layoutInCell="1" allowOverlap="1">
            <wp:simplePos x="0" y="0"/>
            <wp:positionH relativeFrom="column">
              <wp:posOffset>1582420</wp:posOffset>
            </wp:positionH>
            <wp:positionV relativeFrom="paragraph">
              <wp:posOffset>295910</wp:posOffset>
            </wp:positionV>
            <wp:extent cx="2438400" cy="406400"/>
            <wp:effectExtent l="0" t="0" r="0" b="1333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2438400" cy="406400"/>
                    </a:xfrm>
                    <a:prstGeom prst="rect">
                      <a:avLst/>
                    </a:prstGeom>
                    <a:noFill/>
                    <a:ln>
                      <a:noFill/>
                    </a:ln>
                  </pic:spPr>
                </pic:pic>
              </a:graphicData>
            </a:graphic>
          </wp:anchor>
        </w:drawing>
      </w:r>
      <w:r>
        <w:rPr>
          <w:color w:val="auto"/>
          <w:sz w:val="24"/>
          <w:szCs w:val="24"/>
        </w:rPr>
        <w:t>1</w:t>
      </w:r>
      <w:r>
        <w:rPr>
          <w:rFonts w:cs="宋体" w:hint="eastAsia"/>
          <w:color w:val="auto"/>
          <w:sz w:val="24"/>
          <w:szCs w:val="24"/>
        </w:rPr>
        <w:t>、运行率（</w:t>
      </w:r>
      <w:r>
        <w:rPr>
          <w:color w:val="auto"/>
          <w:sz w:val="24"/>
          <w:szCs w:val="24"/>
        </w:rPr>
        <w:t>10</w:t>
      </w:r>
      <w:r>
        <w:rPr>
          <w:rFonts w:cs="宋体" w:hint="eastAsia"/>
          <w:color w:val="auto"/>
          <w:sz w:val="24"/>
          <w:szCs w:val="24"/>
        </w:rPr>
        <w:t>分）</w:t>
      </w:r>
    </w:p>
    <w:p w:rsidR="00B338FE" w:rsidRDefault="00B11729">
      <w:pPr>
        <w:spacing w:line="500" w:lineRule="exact"/>
        <w:ind w:left="640"/>
        <w:rPr>
          <w:rFonts w:ascii="仿宋" w:eastAsia="仿宋"/>
          <w:color w:val="auto"/>
          <w:sz w:val="28"/>
          <w:szCs w:val="28"/>
        </w:rPr>
      </w:pPr>
      <w:r>
        <w:rPr>
          <w:rFonts w:ascii="宋体" w:hAnsi="宋体" w:cs="宋体" w:hint="eastAsia"/>
          <w:color w:val="auto"/>
          <w:sz w:val="24"/>
          <w:szCs w:val="24"/>
        </w:rPr>
        <w:t>监测仪器每月运行率</w:t>
      </w:r>
      <w:r>
        <w:rPr>
          <w:rFonts w:ascii="宋体" w:hAnsi="宋体" w:cs="宋体"/>
          <w:color w:val="auto"/>
          <w:sz w:val="24"/>
          <w:szCs w:val="24"/>
        </w:rPr>
        <w:t xml:space="preserve">= </w:t>
      </w:r>
    </w:p>
    <w:p w:rsidR="00B338FE" w:rsidRDefault="00B338FE">
      <w:pPr>
        <w:spacing w:line="500" w:lineRule="exact"/>
        <w:ind w:left="640"/>
        <w:rPr>
          <w:rFonts w:ascii="宋体"/>
          <w:color w:val="auto"/>
          <w:sz w:val="24"/>
          <w:szCs w:val="24"/>
        </w:rPr>
      </w:pPr>
    </w:p>
    <w:p w:rsidR="00B338FE" w:rsidRDefault="00B11729">
      <w:pPr>
        <w:spacing w:line="500" w:lineRule="exact"/>
        <w:ind w:left="640"/>
        <w:rPr>
          <w:rFonts w:ascii="仿宋"/>
          <w:color w:val="auto"/>
          <w:sz w:val="28"/>
          <w:szCs w:val="28"/>
        </w:rPr>
      </w:pPr>
      <w:r>
        <w:rPr>
          <w:rFonts w:ascii="仿宋" w:hint="eastAsia"/>
          <w:noProof/>
          <w:color w:val="auto"/>
          <w:sz w:val="28"/>
          <w:szCs w:val="28"/>
        </w:rPr>
        <w:drawing>
          <wp:anchor distT="0" distB="0" distL="114300" distR="114300" simplePos="0" relativeHeight="251660288" behindDoc="0" locked="0" layoutInCell="1" allowOverlap="1">
            <wp:simplePos x="0" y="0"/>
            <wp:positionH relativeFrom="column">
              <wp:posOffset>1696085</wp:posOffset>
            </wp:positionH>
            <wp:positionV relativeFrom="paragraph">
              <wp:posOffset>13335</wp:posOffset>
            </wp:positionV>
            <wp:extent cx="1771650" cy="372745"/>
            <wp:effectExtent l="0" t="0" r="0" b="8255"/>
            <wp:wrapSquare wrapText="bothSides"/>
            <wp:docPr id="2" name="图片 5" descr="16477871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1647787114(1)"/>
                    <pic:cNvPicPr>
                      <a:picLocks noChangeAspect="1"/>
                    </pic:cNvPicPr>
                  </pic:nvPicPr>
                  <pic:blipFill>
                    <a:blip r:embed="rId13"/>
                    <a:stretch>
                      <a:fillRect/>
                    </a:stretch>
                  </pic:blipFill>
                  <pic:spPr>
                    <a:xfrm>
                      <a:off x="0" y="0"/>
                      <a:ext cx="1771650" cy="372745"/>
                    </a:xfrm>
                    <a:prstGeom prst="rect">
                      <a:avLst/>
                    </a:prstGeom>
                    <a:noFill/>
                    <a:ln>
                      <a:noFill/>
                    </a:ln>
                  </pic:spPr>
                </pic:pic>
              </a:graphicData>
            </a:graphic>
          </wp:anchor>
        </w:drawing>
      </w:r>
      <w:r>
        <w:rPr>
          <w:rFonts w:ascii="宋体" w:hAnsi="宋体" w:cs="宋体" w:hint="eastAsia"/>
          <w:color w:val="auto"/>
          <w:sz w:val="24"/>
          <w:szCs w:val="24"/>
        </w:rPr>
        <w:t>单站每月运行率</w:t>
      </w:r>
      <w:r>
        <w:rPr>
          <w:rFonts w:ascii="宋体" w:hAnsi="宋体" w:cs="宋体"/>
          <w:color w:val="auto"/>
          <w:sz w:val="24"/>
          <w:szCs w:val="24"/>
        </w:rPr>
        <w:t>=</w:t>
      </w:r>
    </w:p>
    <w:p w:rsidR="00B338FE" w:rsidRDefault="00B338FE">
      <w:pPr>
        <w:widowControl w:val="0"/>
        <w:adjustRightInd w:val="0"/>
        <w:snapToGrid w:val="0"/>
        <w:spacing w:line="300" w:lineRule="auto"/>
        <w:ind w:firstLineChars="200" w:firstLine="480"/>
        <w:rPr>
          <w:color w:val="auto"/>
          <w:sz w:val="24"/>
          <w:szCs w:val="24"/>
        </w:rPr>
      </w:pP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每月运行率及数据个数以平台统计为准。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1</w:t>
      </w:r>
      <w:r>
        <w:rPr>
          <w:rFonts w:cs="宋体" w:hint="eastAsia"/>
          <w:color w:val="auto"/>
          <w:sz w:val="24"/>
          <w:szCs w:val="24"/>
        </w:rPr>
        <w:t>）扣除停电、自然灾害等不可抗力的影响，总体运行率应不低于</w:t>
      </w:r>
      <w:r>
        <w:rPr>
          <w:color w:val="auto"/>
          <w:sz w:val="24"/>
          <w:szCs w:val="24"/>
        </w:rPr>
        <w:t>90%</w:t>
      </w:r>
      <w:r>
        <w:rPr>
          <w:rFonts w:cs="宋体" w:hint="eastAsia"/>
          <w:color w:val="auto"/>
          <w:sz w:val="24"/>
          <w:szCs w:val="24"/>
        </w:rPr>
        <w:t>，每低</w:t>
      </w:r>
      <w:r>
        <w:rPr>
          <w:color w:val="auto"/>
          <w:sz w:val="24"/>
          <w:szCs w:val="24"/>
        </w:rPr>
        <w:t>1</w:t>
      </w:r>
      <w:r>
        <w:rPr>
          <w:rFonts w:cs="宋体" w:hint="eastAsia"/>
          <w:color w:val="auto"/>
          <w:sz w:val="24"/>
          <w:szCs w:val="24"/>
        </w:rPr>
        <w:t>个百分点扣</w:t>
      </w:r>
      <w:r>
        <w:rPr>
          <w:color w:val="auto"/>
          <w:sz w:val="24"/>
          <w:szCs w:val="24"/>
        </w:rPr>
        <w:t>1</w:t>
      </w:r>
      <w:r>
        <w:rPr>
          <w:rFonts w:cs="宋体" w:hint="eastAsia"/>
          <w:color w:val="auto"/>
          <w:sz w:val="24"/>
          <w:szCs w:val="24"/>
        </w:rPr>
        <w:t>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2</w:t>
      </w:r>
      <w:r>
        <w:rPr>
          <w:rFonts w:cs="宋体" w:hint="eastAsia"/>
          <w:color w:val="auto"/>
          <w:sz w:val="24"/>
          <w:szCs w:val="24"/>
        </w:rPr>
        <w:t>）仪器产生故障，导致数据缺失分两种情况：</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由于不可抗力导致数据缺失，缺失数据不纳入“每月应上传数据个数”统计；</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由于运维不力，导致仪器故障，缺失数据须纳入“每月应上传数据个数”统计。</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、数据有效率（</w:t>
      </w:r>
      <w:r>
        <w:rPr>
          <w:color w:val="auto"/>
          <w:sz w:val="24"/>
          <w:szCs w:val="24"/>
        </w:rPr>
        <w:t>10</w:t>
      </w:r>
      <w:r>
        <w:rPr>
          <w:rFonts w:cs="宋体" w:hint="eastAsia"/>
          <w:color w:val="auto"/>
          <w:sz w:val="24"/>
          <w:szCs w:val="24"/>
        </w:rPr>
        <w:t>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1</w:t>
      </w:r>
      <w:r>
        <w:rPr>
          <w:rFonts w:cs="宋体" w:hint="eastAsia"/>
          <w:color w:val="auto"/>
          <w:sz w:val="24"/>
          <w:szCs w:val="24"/>
        </w:rPr>
        <w:t>）数据有效率规定如下：</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以每月水站有效数据个数为基础，计算每月的平均数据有效率。</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每种仪器每月数据有效率</w:t>
      </w:r>
      <w:r>
        <w:rPr>
          <w:color w:val="auto"/>
          <w:sz w:val="24"/>
          <w:szCs w:val="24"/>
        </w:rPr>
        <w:t>=</w:t>
      </w:r>
      <w:r>
        <w:rPr>
          <w:rFonts w:cs="宋体" w:hint="eastAsia"/>
          <w:color w:val="auto"/>
          <w:sz w:val="24"/>
          <w:szCs w:val="24"/>
        </w:rPr>
        <w:t>有效数据个数</w:t>
      </w:r>
      <w:r>
        <w:rPr>
          <w:color w:val="auto"/>
          <w:sz w:val="24"/>
          <w:szCs w:val="24"/>
        </w:rPr>
        <w:t>/</w:t>
      </w:r>
      <w:r>
        <w:rPr>
          <w:rFonts w:cs="宋体" w:hint="eastAsia"/>
          <w:color w:val="auto"/>
          <w:sz w:val="24"/>
          <w:szCs w:val="24"/>
        </w:rPr>
        <w:t>实际上传数据个数×</w:t>
      </w:r>
      <w:r>
        <w:rPr>
          <w:color w:val="auto"/>
          <w:sz w:val="24"/>
          <w:szCs w:val="24"/>
        </w:rPr>
        <w:t>100%</w:t>
      </w:r>
      <w:r>
        <w:rPr>
          <w:rFonts w:cs="宋体"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单站每月数据有效率</w:t>
      </w:r>
      <w:r>
        <w:rPr>
          <w:color w:val="auto"/>
          <w:sz w:val="24"/>
          <w:szCs w:val="24"/>
        </w:rPr>
        <w:t>=</w:t>
      </w:r>
      <w:r>
        <w:rPr>
          <w:noProof/>
          <w:color w:val="auto"/>
          <w:sz w:val="24"/>
          <w:szCs w:val="24"/>
        </w:rPr>
        <w:drawing>
          <wp:inline distT="0" distB="0" distL="114300" distR="114300">
            <wp:extent cx="2886075" cy="228600"/>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a:stretch>
                      <a:fillRect/>
                    </a:stretch>
                  </pic:blipFill>
                  <pic:spPr>
                    <a:xfrm>
                      <a:off x="0" y="0"/>
                      <a:ext cx="2886075" cy="228600"/>
                    </a:xfrm>
                    <a:prstGeom prst="rect">
                      <a:avLst/>
                    </a:prstGeom>
                    <a:noFill/>
                    <a:ln>
                      <a:noFill/>
                    </a:ln>
                  </pic:spPr>
                </pic:pic>
              </a:graphicData>
            </a:graphic>
          </wp:inline>
        </w:drawing>
      </w:r>
      <w:r>
        <w:rPr>
          <w:rFonts w:cs="宋体"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总体数据有效率</w:t>
      </w:r>
      <w:r>
        <w:rPr>
          <w:color w:val="auto"/>
          <w:sz w:val="24"/>
          <w:szCs w:val="24"/>
        </w:rPr>
        <w:t>=</w:t>
      </w:r>
      <w:r>
        <w:rPr>
          <w:noProof/>
          <w:color w:val="auto"/>
          <w:sz w:val="24"/>
          <w:szCs w:val="24"/>
        </w:rPr>
        <w:drawing>
          <wp:inline distT="0" distB="0" distL="114300" distR="114300">
            <wp:extent cx="2047875" cy="228600"/>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5"/>
                    <a:stretch>
                      <a:fillRect/>
                    </a:stretch>
                  </pic:blipFill>
                  <pic:spPr>
                    <a:xfrm>
                      <a:off x="0" y="0"/>
                      <a:ext cx="2047875" cy="228600"/>
                    </a:xfrm>
                    <a:prstGeom prst="rect">
                      <a:avLst/>
                    </a:prstGeom>
                    <a:noFill/>
                    <a:ln>
                      <a:noFill/>
                    </a:ln>
                  </pic:spPr>
                </pic:pic>
              </a:graphicData>
            </a:graphic>
          </wp:inline>
        </w:drawing>
      </w:r>
      <w:r>
        <w:rPr>
          <w:rFonts w:cs="宋体"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数据有效率以月为单位计算，须达到</w:t>
      </w:r>
      <w:r>
        <w:rPr>
          <w:color w:val="auto"/>
          <w:sz w:val="24"/>
          <w:szCs w:val="24"/>
        </w:rPr>
        <w:t>90%</w:t>
      </w:r>
      <w:r>
        <w:rPr>
          <w:rFonts w:cs="宋体" w:hint="eastAsia"/>
          <w:color w:val="auto"/>
          <w:sz w:val="24"/>
          <w:szCs w:val="24"/>
        </w:rPr>
        <w:t>。数据有效率及数据个数以系统平台计算为准。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2</w:t>
      </w:r>
      <w:r>
        <w:rPr>
          <w:rFonts w:cs="宋体" w:hint="eastAsia"/>
          <w:color w:val="auto"/>
          <w:sz w:val="24"/>
          <w:szCs w:val="24"/>
        </w:rPr>
        <w:t>）有效数据是指系统平台数据剔除异常数据后的数据。以下种类的自动监测数据视为异常数据：</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①自动监测数据出现负值，且负值的绝对值大于最低检出限的数据；</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②常规监测因子中，与实际水样比对，误差超过《地表水自动监测技术规范（试行）》（</w:t>
      </w:r>
      <w:r>
        <w:rPr>
          <w:color w:val="auto"/>
          <w:sz w:val="24"/>
          <w:szCs w:val="24"/>
        </w:rPr>
        <w:t>HJ 915-2017</w:t>
      </w:r>
      <w:r>
        <w:rPr>
          <w:rFonts w:cs="宋体" w:hint="eastAsia"/>
          <w:color w:val="auto"/>
          <w:sz w:val="24"/>
          <w:szCs w:val="24"/>
        </w:rPr>
        <w:t>）附录</w:t>
      </w:r>
      <w:r>
        <w:rPr>
          <w:color w:val="auto"/>
          <w:sz w:val="24"/>
          <w:szCs w:val="24"/>
        </w:rPr>
        <w:t>A</w:t>
      </w:r>
      <w:r>
        <w:rPr>
          <w:rFonts w:cs="宋体" w:hint="eastAsia"/>
          <w:color w:val="auto"/>
          <w:sz w:val="24"/>
          <w:szCs w:val="24"/>
        </w:rPr>
        <w:t>表</w:t>
      </w:r>
      <w:r>
        <w:rPr>
          <w:color w:val="auto"/>
          <w:sz w:val="24"/>
          <w:szCs w:val="24"/>
        </w:rPr>
        <w:t>A.2</w:t>
      </w:r>
      <w:r>
        <w:rPr>
          <w:rFonts w:cs="宋体" w:hint="eastAsia"/>
          <w:color w:val="auto"/>
          <w:sz w:val="24"/>
          <w:szCs w:val="24"/>
        </w:rPr>
        <w:t>相关要求的监测数据；</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③常规监测因子中，出现零值或负值的监测数据；</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④小时监测数据连续</w:t>
      </w:r>
      <w:r>
        <w:rPr>
          <w:color w:val="auto"/>
          <w:sz w:val="24"/>
          <w:szCs w:val="24"/>
        </w:rPr>
        <w:t>3</w:t>
      </w:r>
      <w:r>
        <w:rPr>
          <w:rFonts w:cs="宋体" w:hint="eastAsia"/>
          <w:color w:val="auto"/>
          <w:sz w:val="24"/>
          <w:szCs w:val="24"/>
        </w:rPr>
        <w:t>次或</w:t>
      </w:r>
      <w:r>
        <w:rPr>
          <w:color w:val="auto"/>
          <w:sz w:val="24"/>
          <w:szCs w:val="24"/>
        </w:rPr>
        <w:t>3</w:t>
      </w:r>
      <w:r>
        <w:rPr>
          <w:rFonts w:cs="宋体" w:hint="eastAsia"/>
          <w:color w:val="auto"/>
          <w:sz w:val="24"/>
          <w:szCs w:val="24"/>
        </w:rPr>
        <w:t>次以上出现相同值；未检出或有其他甲方认可的方法证明监测数据有效的数据除外；</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⑤自动监控设备故障或其它异常期间产生的数据；</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⑥自动监控设备在校准、维护期间产生的数据；</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⑦其他有效证据证明不合格的自动监测数据。</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以上种类数据中，①</w:t>
      </w:r>
      <w:r>
        <w:rPr>
          <w:color w:val="auto"/>
          <w:sz w:val="24"/>
          <w:szCs w:val="24"/>
        </w:rPr>
        <w:t>-</w:t>
      </w:r>
      <w:r>
        <w:rPr>
          <w:rFonts w:cs="宋体" w:hint="eastAsia"/>
          <w:color w:val="auto"/>
          <w:sz w:val="24"/>
          <w:szCs w:val="24"/>
        </w:rPr>
        <w:t>④、⑦所示的数据个数纳入“实际上传数据个数”中统计。</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、数据审核率（</w:t>
      </w:r>
      <w:r>
        <w:rPr>
          <w:color w:val="auto"/>
          <w:sz w:val="24"/>
          <w:szCs w:val="24"/>
        </w:rPr>
        <w:t>10</w:t>
      </w:r>
      <w:r>
        <w:rPr>
          <w:rFonts w:cs="宋体" w:hint="eastAsia"/>
          <w:color w:val="auto"/>
          <w:sz w:val="24"/>
          <w:szCs w:val="24"/>
        </w:rPr>
        <w:t>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数据审核率</w:t>
      </w:r>
      <w:r>
        <w:rPr>
          <w:color w:val="auto"/>
          <w:sz w:val="24"/>
          <w:szCs w:val="24"/>
        </w:rPr>
        <w:t>=</w:t>
      </w:r>
      <w:r>
        <w:rPr>
          <w:rFonts w:cs="宋体" w:hint="eastAsia"/>
          <w:color w:val="auto"/>
          <w:sz w:val="24"/>
          <w:szCs w:val="24"/>
        </w:rPr>
        <w:t>（站点数据实际审核天数</w:t>
      </w:r>
      <w:r>
        <w:rPr>
          <w:color w:val="auto"/>
          <w:sz w:val="24"/>
          <w:szCs w:val="24"/>
        </w:rPr>
        <w:t>/</w:t>
      </w:r>
      <w:r>
        <w:rPr>
          <w:rFonts w:cs="宋体" w:hint="eastAsia"/>
          <w:color w:val="auto"/>
          <w:sz w:val="24"/>
          <w:szCs w:val="24"/>
        </w:rPr>
        <w:t>站点数据应审核天数）×</w:t>
      </w:r>
      <w:r>
        <w:rPr>
          <w:color w:val="auto"/>
          <w:sz w:val="24"/>
          <w:szCs w:val="24"/>
        </w:rPr>
        <w:t>100%</w:t>
      </w:r>
      <w:r>
        <w:rPr>
          <w:rFonts w:cs="宋体" w:hint="eastAsia"/>
          <w:color w:val="auto"/>
          <w:sz w:val="24"/>
          <w:szCs w:val="24"/>
        </w:rPr>
        <w:t>。</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4</w:t>
      </w:r>
      <w:r>
        <w:rPr>
          <w:rFonts w:cs="宋体" w:hint="eastAsia"/>
          <w:color w:val="auto"/>
          <w:sz w:val="24"/>
          <w:szCs w:val="24"/>
        </w:rPr>
        <w:t>、监测数据的统计规定</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1</w:t>
      </w:r>
      <w:r>
        <w:rPr>
          <w:rFonts w:cs="宋体" w:hint="eastAsia"/>
          <w:color w:val="auto"/>
          <w:sz w:val="24"/>
          <w:szCs w:val="24"/>
        </w:rPr>
        <w:t>）小时值：水站正常运行情况下，每天等时间间隔（采样周期</w:t>
      </w:r>
      <w:r>
        <w:rPr>
          <w:color w:val="auto"/>
          <w:sz w:val="24"/>
          <w:szCs w:val="24"/>
        </w:rPr>
        <w:t>4h</w:t>
      </w:r>
      <w:r>
        <w:rPr>
          <w:rFonts w:cs="宋体" w:hint="eastAsia"/>
          <w:color w:val="auto"/>
          <w:sz w:val="24"/>
          <w:szCs w:val="24"/>
        </w:rPr>
        <w:t>）自动监测</w:t>
      </w:r>
      <w:r>
        <w:rPr>
          <w:color w:val="auto"/>
          <w:sz w:val="24"/>
          <w:szCs w:val="24"/>
        </w:rPr>
        <w:t>6</w:t>
      </w:r>
      <w:r>
        <w:rPr>
          <w:rFonts w:cs="宋体" w:hint="eastAsia"/>
          <w:color w:val="auto"/>
          <w:sz w:val="24"/>
          <w:szCs w:val="24"/>
        </w:rPr>
        <w:t>次；</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2</w:t>
      </w:r>
      <w:r>
        <w:rPr>
          <w:rFonts w:cs="宋体" w:hint="eastAsia"/>
          <w:color w:val="auto"/>
          <w:sz w:val="24"/>
          <w:szCs w:val="24"/>
        </w:rPr>
        <w:t>）日均值：正常情况下应为当日全部自动监测数据的算术平均值（</w:t>
      </w:r>
      <w:r>
        <w:rPr>
          <w:color w:val="auto"/>
          <w:sz w:val="24"/>
          <w:szCs w:val="24"/>
        </w:rPr>
        <w:t>pH</w:t>
      </w:r>
      <w:r>
        <w:rPr>
          <w:rFonts w:cs="宋体" w:hint="eastAsia"/>
          <w:color w:val="auto"/>
          <w:sz w:val="24"/>
          <w:szCs w:val="24"/>
        </w:rPr>
        <w:t>值除外）；</w:t>
      </w:r>
      <w:r>
        <w:rPr>
          <w:color w:val="auto"/>
          <w:sz w:val="24"/>
          <w:szCs w:val="24"/>
        </w:rPr>
        <w:t>pH</w:t>
      </w:r>
      <w:r>
        <w:rPr>
          <w:rFonts w:cs="宋体" w:hint="eastAsia"/>
          <w:color w:val="auto"/>
          <w:sz w:val="24"/>
          <w:szCs w:val="24"/>
        </w:rPr>
        <w:t>值的日均值采用当日实际获得的全部</w:t>
      </w:r>
      <w:r>
        <w:rPr>
          <w:color w:val="auto"/>
          <w:sz w:val="24"/>
          <w:szCs w:val="24"/>
        </w:rPr>
        <w:t>pH</w:t>
      </w:r>
      <w:r>
        <w:rPr>
          <w:rFonts w:cs="宋体" w:hint="eastAsia"/>
          <w:color w:val="auto"/>
          <w:sz w:val="24"/>
          <w:szCs w:val="24"/>
        </w:rPr>
        <w:t>值对应氢离子浓度算术平均值的负对数表示，</w:t>
      </w:r>
      <w:r>
        <w:rPr>
          <w:rFonts w:cs="宋体" w:hint="eastAsia"/>
          <w:color w:val="auto"/>
          <w:sz w:val="24"/>
          <w:szCs w:val="24"/>
        </w:rPr>
        <w:lastRenderedPageBreak/>
        <w:t>计算时先采用</w:t>
      </w:r>
      <w:r>
        <w:rPr>
          <w:color w:val="auto"/>
          <w:sz w:val="24"/>
          <w:szCs w:val="24"/>
        </w:rPr>
        <w:t>pH</w:t>
      </w:r>
      <w:r>
        <w:rPr>
          <w:rFonts w:cs="宋体" w:hint="eastAsia"/>
          <w:color w:val="auto"/>
          <w:sz w:val="24"/>
          <w:szCs w:val="24"/>
        </w:rPr>
        <w:t>值自动数据计算对应时段的氢离子浓度值，再计算当日全部氢离子浓度算术平均值，最终计算该算术平均值的负对数；</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3</w:t>
      </w:r>
      <w:r>
        <w:rPr>
          <w:rFonts w:cs="宋体" w:hint="eastAsia"/>
          <w:color w:val="auto"/>
          <w:sz w:val="24"/>
          <w:szCs w:val="24"/>
        </w:rPr>
        <w:t>）月均值：正常情况下应为当月实际获得全部自动数据的算术平均值。</w:t>
      </w:r>
      <w:r>
        <w:rPr>
          <w:color w:val="auto"/>
          <w:sz w:val="24"/>
          <w:szCs w:val="24"/>
        </w:rPr>
        <w:t xml:space="preserve">pH </w:t>
      </w:r>
      <w:r>
        <w:rPr>
          <w:rFonts w:cs="宋体" w:hint="eastAsia"/>
          <w:color w:val="auto"/>
          <w:sz w:val="24"/>
          <w:szCs w:val="24"/>
        </w:rPr>
        <w:t>值的自动月代表值采用当月全部</w:t>
      </w:r>
      <w:r>
        <w:rPr>
          <w:color w:val="auto"/>
          <w:sz w:val="24"/>
          <w:szCs w:val="24"/>
        </w:rPr>
        <w:t xml:space="preserve">pH </w:t>
      </w:r>
      <w:r>
        <w:rPr>
          <w:rFonts w:cs="宋体" w:hint="eastAsia"/>
          <w:color w:val="auto"/>
          <w:sz w:val="24"/>
          <w:szCs w:val="24"/>
        </w:rPr>
        <w:t>值自动数据对应氢离子浓度算术平均值的负对数表示；</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4</w:t>
      </w:r>
      <w:r>
        <w:rPr>
          <w:rFonts w:cs="宋体" w:hint="eastAsia"/>
          <w:color w:val="auto"/>
          <w:sz w:val="24"/>
          <w:szCs w:val="24"/>
        </w:rPr>
        <w:t>）不可抗力（如雷电、洪水、旱灾，火灾、断流等）造成系统无法运行、数据的缺失不计入统计考核指标；</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5</w:t>
      </w:r>
      <w:r>
        <w:rPr>
          <w:rFonts w:cs="宋体" w:hint="eastAsia"/>
          <w:color w:val="auto"/>
          <w:sz w:val="24"/>
          <w:szCs w:val="24"/>
        </w:rPr>
        <w:t>）突发事件（如偷盗、光纤故障，停电等）造成系统无法运行、数据的缺失不计入统计考核指标。</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（二）运维管理（</w:t>
      </w:r>
      <w:r>
        <w:rPr>
          <w:color w:val="auto"/>
          <w:sz w:val="24"/>
          <w:szCs w:val="24"/>
        </w:rPr>
        <w:t>70</w:t>
      </w:r>
      <w:r>
        <w:rPr>
          <w:rFonts w:cs="宋体" w:hint="eastAsia"/>
          <w:color w:val="auto"/>
          <w:sz w:val="24"/>
          <w:szCs w:val="24"/>
        </w:rPr>
        <w:t>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水站运维管理实施“日监控、周巡检”的管理制度。投标人每日通过系统平台开展数据监控；每周至少</w:t>
      </w:r>
      <w:r>
        <w:rPr>
          <w:color w:val="auto"/>
          <w:sz w:val="24"/>
          <w:szCs w:val="24"/>
        </w:rPr>
        <w:t>1</w:t>
      </w:r>
      <w:r>
        <w:rPr>
          <w:rFonts w:cs="宋体" w:hint="eastAsia"/>
          <w:color w:val="auto"/>
          <w:sz w:val="24"/>
          <w:szCs w:val="24"/>
        </w:rPr>
        <w:t>次对各个水站进行现场维护。</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、日监控（</w:t>
      </w:r>
      <w:r>
        <w:rPr>
          <w:color w:val="auto"/>
          <w:sz w:val="24"/>
          <w:szCs w:val="24"/>
        </w:rPr>
        <w:t>10</w:t>
      </w:r>
      <w:r>
        <w:rPr>
          <w:rFonts w:cs="宋体" w:hint="eastAsia"/>
          <w:color w:val="auto"/>
          <w:sz w:val="24"/>
          <w:szCs w:val="24"/>
        </w:rPr>
        <w:t>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“日监控”是指：每天对系统平台进行实时监控，保证前端水站与系统平台数据畅通，要求如下：</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1</w:t>
      </w:r>
      <w:r>
        <w:rPr>
          <w:rFonts w:cs="宋体" w:hint="eastAsia"/>
          <w:color w:val="auto"/>
          <w:sz w:val="24"/>
          <w:szCs w:val="24"/>
        </w:rPr>
        <w:t>）指定专人每日上午</w:t>
      </w:r>
      <w:r>
        <w:rPr>
          <w:color w:val="auto"/>
          <w:sz w:val="24"/>
          <w:szCs w:val="24"/>
        </w:rPr>
        <w:t>10</w:t>
      </w:r>
      <w:r>
        <w:rPr>
          <w:rFonts w:cs="宋体" w:hint="eastAsia"/>
          <w:color w:val="auto"/>
          <w:sz w:val="24"/>
          <w:szCs w:val="24"/>
        </w:rPr>
        <w:t>时前对水站前一天的自动监测数据初步审核完成；</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2</w:t>
      </w:r>
      <w:r>
        <w:rPr>
          <w:rFonts w:cs="宋体" w:hint="eastAsia"/>
          <w:color w:val="auto"/>
          <w:sz w:val="24"/>
          <w:szCs w:val="24"/>
        </w:rPr>
        <w:t>）每日下午下班前，记录水站当天运行情况；</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3</w:t>
      </w:r>
      <w:r>
        <w:rPr>
          <w:rFonts w:cs="宋体" w:hint="eastAsia"/>
          <w:color w:val="auto"/>
          <w:sz w:val="24"/>
          <w:szCs w:val="24"/>
        </w:rPr>
        <w:t>）值班记录要规范、及时上报故障。</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、周巡检（</w:t>
      </w:r>
      <w:r>
        <w:rPr>
          <w:color w:val="auto"/>
          <w:sz w:val="24"/>
          <w:szCs w:val="24"/>
        </w:rPr>
        <w:t>10</w:t>
      </w:r>
      <w:r>
        <w:rPr>
          <w:rFonts w:cs="宋体" w:hint="eastAsia"/>
          <w:color w:val="auto"/>
          <w:sz w:val="24"/>
          <w:szCs w:val="24"/>
        </w:rPr>
        <w:t>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1</w:t>
      </w:r>
      <w:r>
        <w:rPr>
          <w:rFonts w:cs="宋体" w:hint="eastAsia"/>
          <w:color w:val="auto"/>
          <w:sz w:val="24"/>
          <w:szCs w:val="24"/>
        </w:rPr>
        <w:t>）水质自动站的巡检（包括软硬件及现场站房的基础设施、系统各单元及附属设施的运行维护），每个站每周</w:t>
      </w:r>
      <w:r>
        <w:rPr>
          <w:color w:val="auto"/>
          <w:sz w:val="24"/>
          <w:szCs w:val="24"/>
        </w:rPr>
        <w:t>1</w:t>
      </w:r>
      <w:r>
        <w:rPr>
          <w:rFonts w:cs="宋体" w:hint="eastAsia"/>
          <w:color w:val="auto"/>
          <w:sz w:val="24"/>
          <w:szCs w:val="24"/>
        </w:rPr>
        <w:t>次；</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2</w:t>
      </w:r>
      <w:r>
        <w:rPr>
          <w:rFonts w:cs="宋体" w:hint="eastAsia"/>
          <w:color w:val="auto"/>
          <w:sz w:val="24"/>
          <w:szCs w:val="24"/>
        </w:rPr>
        <w:t>）周巡检时，按要求填报记录表，现场工作情况拍照存档，周运维工作内容为采水系统、进水与配水系统、通讯系统、控制系统、集成、配电、各分析仪器、站房的安全和卫生的维护；按要求对水站监测设备和仪器开展质控工作；</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3</w:t>
      </w:r>
      <w:r>
        <w:rPr>
          <w:rFonts w:cs="宋体" w:hint="eastAsia"/>
          <w:color w:val="auto"/>
          <w:sz w:val="24"/>
          <w:szCs w:val="24"/>
        </w:rPr>
        <w:t>）周巡检须对站点上游</w:t>
      </w:r>
      <w:r>
        <w:rPr>
          <w:color w:val="auto"/>
          <w:sz w:val="24"/>
          <w:szCs w:val="24"/>
        </w:rPr>
        <w:t>2000</w:t>
      </w:r>
      <w:r>
        <w:rPr>
          <w:rFonts w:cs="宋体" w:hint="eastAsia"/>
          <w:color w:val="auto"/>
          <w:sz w:val="24"/>
          <w:szCs w:val="24"/>
        </w:rPr>
        <w:t>米，下游</w:t>
      </w:r>
      <w:r>
        <w:rPr>
          <w:color w:val="auto"/>
          <w:sz w:val="24"/>
          <w:szCs w:val="24"/>
        </w:rPr>
        <w:t>500</w:t>
      </w:r>
      <w:r>
        <w:rPr>
          <w:rFonts w:cs="宋体" w:hint="eastAsia"/>
          <w:color w:val="auto"/>
          <w:sz w:val="24"/>
          <w:szCs w:val="24"/>
        </w:rPr>
        <w:t>米范围内出现的可能影响水站正常运行或水质变化的环境变化开展巡查，并上报采购人。</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、故障处理（</w:t>
      </w:r>
      <w:r>
        <w:rPr>
          <w:color w:val="auto"/>
          <w:sz w:val="24"/>
          <w:szCs w:val="24"/>
        </w:rPr>
        <w:t>10</w:t>
      </w:r>
      <w:r>
        <w:rPr>
          <w:rFonts w:cs="宋体" w:hint="eastAsia"/>
          <w:color w:val="auto"/>
          <w:sz w:val="24"/>
          <w:szCs w:val="24"/>
        </w:rPr>
        <w:t>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1</w:t>
      </w:r>
      <w:r>
        <w:rPr>
          <w:rFonts w:cs="宋体" w:hint="eastAsia"/>
          <w:color w:val="auto"/>
          <w:sz w:val="24"/>
          <w:szCs w:val="24"/>
        </w:rPr>
        <w:t>）现场排除故障</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①投标人发现水站系统故障时应及时排除，及时上报采购人，同时委托有资质的环境监测机构做好手工采样、实验室分析等应急补救措施并填写运维记录；</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②投标人故障响应时间不超过</w:t>
      </w:r>
      <w:r>
        <w:rPr>
          <w:color w:val="auto"/>
          <w:sz w:val="24"/>
          <w:szCs w:val="24"/>
        </w:rPr>
        <w:t>4</w:t>
      </w:r>
      <w:r>
        <w:rPr>
          <w:rFonts w:cs="宋体" w:hint="eastAsia"/>
          <w:color w:val="auto"/>
          <w:sz w:val="24"/>
          <w:szCs w:val="24"/>
        </w:rPr>
        <w:t>小时，一般故障排除时间不超过</w:t>
      </w:r>
      <w:r>
        <w:rPr>
          <w:color w:val="auto"/>
          <w:sz w:val="24"/>
          <w:szCs w:val="24"/>
        </w:rPr>
        <w:t>24</w:t>
      </w:r>
      <w:r>
        <w:rPr>
          <w:rFonts w:cs="宋体" w:hint="eastAsia"/>
          <w:color w:val="auto"/>
          <w:sz w:val="24"/>
          <w:szCs w:val="24"/>
        </w:rPr>
        <w:t>小时，重大故障排除时间不超过</w:t>
      </w:r>
      <w:r>
        <w:rPr>
          <w:color w:val="auto"/>
          <w:sz w:val="24"/>
          <w:szCs w:val="24"/>
        </w:rPr>
        <w:t>48</w:t>
      </w:r>
      <w:r>
        <w:rPr>
          <w:rFonts w:cs="宋体" w:hint="eastAsia"/>
          <w:color w:val="auto"/>
          <w:sz w:val="24"/>
          <w:szCs w:val="24"/>
        </w:rPr>
        <w:t>小时。如故障排除时间超过</w:t>
      </w:r>
      <w:r>
        <w:rPr>
          <w:color w:val="auto"/>
          <w:sz w:val="24"/>
          <w:szCs w:val="24"/>
        </w:rPr>
        <w:t>48</w:t>
      </w:r>
      <w:r>
        <w:rPr>
          <w:rFonts w:cs="宋体" w:hint="eastAsia"/>
          <w:color w:val="auto"/>
          <w:sz w:val="24"/>
          <w:szCs w:val="24"/>
        </w:rPr>
        <w:t>小时，需提供备机或其他有效方式保证不间断的获取监测数据。</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2</w:t>
      </w:r>
      <w:r>
        <w:rPr>
          <w:rFonts w:cs="宋体" w:hint="eastAsia"/>
          <w:color w:val="auto"/>
          <w:sz w:val="24"/>
          <w:szCs w:val="24"/>
        </w:rPr>
        <w:t>）停机处理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①短时间停机（停机时间小于</w:t>
      </w:r>
      <w:r>
        <w:rPr>
          <w:color w:val="auto"/>
          <w:sz w:val="24"/>
          <w:szCs w:val="24"/>
        </w:rPr>
        <w:t>24</w:t>
      </w:r>
      <w:r>
        <w:rPr>
          <w:rFonts w:cs="宋体" w:hint="eastAsia"/>
          <w:color w:val="auto"/>
          <w:sz w:val="24"/>
          <w:szCs w:val="24"/>
        </w:rPr>
        <w:t>小时）：一般关机即可，再次运行时仪器需重新校准；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②长时间停机（连续停机时间超过</w:t>
      </w:r>
      <w:r>
        <w:rPr>
          <w:color w:val="auto"/>
          <w:sz w:val="24"/>
          <w:szCs w:val="24"/>
        </w:rPr>
        <w:t>24</w:t>
      </w:r>
      <w:r>
        <w:rPr>
          <w:rFonts w:cs="宋体" w:hint="eastAsia"/>
          <w:color w:val="auto"/>
          <w:sz w:val="24"/>
          <w:szCs w:val="24"/>
        </w:rPr>
        <w:t>小时）：如果监测仪器需要停机</w:t>
      </w:r>
      <w:r>
        <w:rPr>
          <w:color w:val="auto"/>
          <w:sz w:val="24"/>
          <w:szCs w:val="24"/>
        </w:rPr>
        <w:t>24</w:t>
      </w:r>
      <w:r>
        <w:rPr>
          <w:rFonts w:cs="宋体" w:hint="eastAsia"/>
          <w:color w:val="auto"/>
          <w:sz w:val="24"/>
          <w:szCs w:val="24"/>
        </w:rPr>
        <w:t>小时或更长</w:t>
      </w:r>
      <w:r>
        <w:rPr>
          <w:rFonts w:cs="宋体" w:hint="eastAsia"/>
          <w:color w:val="auto"/>
          <w:sz w:val="24"/>
          <w:szCs w:val="24"/>
        </w:rPr>
        <w:lastRenderedPageBreak/>
        <w:t>时间，一般需关闭仪器和进样阀，关闭电源。并用蒸馏水清洗分析仪器的蠕动泵以及试剂管路；清洗测量室并排空；对于测量电极，应取下并将电极头浸入保护液中存放。停机前应将停机申请通过系统平台报告采购人，经允许后实施；</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③停机期间，委托有资质的环境监测机构开展全程序的手工采样，国标法分析常规监测因子，每周</w:t>
      </w:r>
      <w:r>
        <w:rPr>
          <w:color w:val="auto"/>
          <w:sz w:val="24"/>
          <w:szCs w:val="24"/>
        </w:rPr>
        <w:t>2</w:t>
      </w:r>
      <w:r>
        <w:rPr>
          <w:rFonts w:cs="宋体" w:hint="eastAsia"/>
          <w:color w:val="auto"/>
          <w:sz w:val="24"/>
          <w:szCs w:val="24"/>
        </w:rPr>
        <w:t>次；分析数据按要求上报采购人。停机期间，每周进行停机维护；</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④长时间停机后，恢复运行时，须按照国标要求开展仪器质控实验，并将结果经系统平台上报采购人；经采购人同意后方可正式恢复运行。</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4</w:t>
      </w:r>
      <w:r>
        <w:rPr>
          <w:rFonts w:cs="宋体" w:hint="eastAsia"/>
          <w:color w:val="auto"/>
          <w:sz w:val="24"/>
          <w:szCs w:val="24"/>
        </w:rPr>
        <w:t>、运维记录（</w:t>
      </w:r>
      <w:r>
        <w:rPr>
          <w:color w:val="auto"/>
          <w:sz w:val="24"/>
          <w:szCs w:val="24"/>
        </w:rPr>
        <w:t>10</w:t>
      </w:r>
      <w:r>
        <w:rPr>
          <w:rFonts w:cs="宋体" w:hint="eastAsia"/>
          <w:color w:val="auto"/>
          <w:sz w:val="24"/>
          <w:szCs w:val="24"/>
        </w:rPr>
        <w:t>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运维管理的所有工作，必须如实填写运维巡检记录，做到“有据可查”。无记录的工作，采购人视为该项工作未开展。</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5</w:t>
      </w:r>
      <w:r>
        <w:rPr>
          <w:rFonts w:cs="宋体" w:hint="eastAsia"/>
          <w:color w:val="auto"/>
          <w:sz w:val="24"/>
          <w:szCs w:val="24"/>
        </w:rPr>
        <w:t>、人员及车辆配置（</w:t>
      </w:r>
      <w:r>
        <w:rPr>
          <w:color w:val="auto"/>
          <w:sz w:val="24"/>
          <w:szCs w:val="24"/>
        </w:rPr>
        <w:t>10</w:t>
      </w:r>
      <w:r>
        <w:rPr>
          <w:rFonts w:cs="宋体" w:hint="eastAsia"/>
          <w:color w:val="auto"/>
          <w:sz w:val="24"/>
          <w:szCs w:val="24"/>
        </w:rPr>
        <w:t>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1</w:t>
      </w:r>
      <w:r>
        <w:rPr>
          <w:rFonts w:cs="宋体" w:hint="eastAsia"/>
          <w:color w:val="auto"/>
          <w:sz w:val="24"/>
          <w:szCs w:val="24"/>
        </w:rPr>
        <w:t>）投标人人员及车辆</w:t>
      </w:r>
    </w:p>
    <w:p w:rsidR="00B338FE" w:rsidRDefault="00BB3FCD">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①人员和交通工具的配置要求：</w:t>
      </w:r>
      <w:r w:rsidR="00B11729">
        <w:rPr>
          <w:color w:val="auto"/>
          <w:sz w:val="24"/>
          <w:szCs w:val="24"/>
        </w:rPr>
        <w:t>2</w:t>
      </w:r>
      <w:r w:rsidR="00B11729">
        <w:rPr>
          <w:rFonts w:cs="宋体" w:hint="eastAsia"/>
          <w:color w:val="auto"/>
          <w:sz w:val="24"/>
          <w:szCs w:val="24"/>
        </w:rPr>
        <w:t>个站点至少配置</w:t>
      </w:r>
      <w:r w:rsidR="004602EA">
        <w:rPr>
          <w:rFonts w:hint="eastAsia"/>
          <w:color w:val="auto"/>
          <w:sz w:val="24"/>
          <w:szCs w:val="24"/>
        </w:rPr>
        <w:t>2</w:t>
      </w:r>
      <w:r w:rsidR="00B11729">
        <w:rPr>
          <w:rFonts w:cs="宋体" w:hint="eastAsia"/>
          <w:color w:val="auto"/>
          <w:sz w:val="24"/>
          <w:szCs w:val="24"/>
        </w:rPr>
        <w:t>名运维技术人员</w:t>
      </w:r>
      <w:r w:rsidR="00302F7F">
        <w:rPr>
          <w:rFonts w:cs="宋体" w:hint="eastAsia"/>
          <w:color w:val="auto"/>
          <w:sz w:val="24"/>
          <w:szCs w:val="24"/>
        </w:rPr>
        <w:t>、</w:t>
      </w:r>
      <w:r w:rsidR="00302F7F">
        <w:rPr>
          <w:rFonts w:cs="宋体" w:hint="eastAsia"/>
          <w:color w:val="auto"/>
          <w:sz w:val="24"/>
          <w:szCs w:val="24"/>
        </w:rPr>
        <w:t>1</w:t>
      </w:r>
      <w:r w:rsidR="00302F7F">
        <w:rPr>
          <w:rFonts w:cs="宋体" w:hint="eastAsia"/>
          <w:color w:val="auto"/>
          <w:sz w:val="24"/>
          <w:szCs w:val="24"/>
        </w:rPr>
        <w:t>名数据审核人员和</w:t>
      </w:r>
      <w:r w:rsidR="00B11729">
        <w:rPr>
          <w:color w:val="auto"/>
          <w:sz w:val="24"/>
          <w:szCs w:val="24"/>
        </w:rPr>
        <w:t>1</w:t>
      </w:r>
      <w:r w:rsidR="00B11729">
        <w:rPr>
          <w:rFonts w:cs="宋体" w:hint="eastAsia"/>
          <w:color w:val="auto"/>
          <w:sz w:val="24"/>
          <w:szCs w:val="24"/>
        </w:rPr>
        <w:t>辆车；</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②人员素质及能力：现场维护人员应具有至少</w:t>
      </w:r>
      <w:r>
        <w:rPr>
          <w:color w:val="auto"/>
          <w:sz w:val="24"/>
          <w:szCs w:val="24"/>
        </w:rPr>
        <w:t>1</w:t>
      </w:r>
      <w:r>
        <w:rPr>
          <w:rFonts w:cs="宋体" w:hint="eastAsia"/>
          <w:color w:val="auto"/>
          <w:sz w:val="24"/>
          <w:szCs w:val="24"/>
        </w:rPr>
        <w:t>年以上的现场维护经验并持证运维，能及时发现和排除仪器故障。维护人员更换时应提前向采购人报告并备案；</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③人员分工：现场维护、</w:t>
      </w:r>
      <w:r w:rsidR="00E87C4D">
        <w:rPr>
          <w:rFonts w:cs="宋体" w:hint="eastAsia"/>
          <w:color w:val="auto"/>
          <w:sz w:val="24"/>
          <w:szCs w:val="24"/>
        </w:rPr>
        <w:t>数据审核</w:t>
      </w:r>
      <w:r>
        <w:rPr>
          <w:rFonts w:cs="宋体" w:hint="eastAsia"/>
          <w:color w:val="auto"/>
          <w:sz w:val="24"/>
          <w:szCs w:val="24"/>
        </w:rPr>
        <w:t>人员分工要明确；</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6</w:t>
      </w:r>
      <w:r>
        <w:rPr>
          <w:rFonts w:cs="宋体" w:hint="eastAsia"/>
          <w:color w:val="auto"/>
          <w:sz w:val="24"/>
          <w:szCs w:val="24"/>
        </w:rPr>
        <w:t>、安全要求（</w:t>
      </w:r>
      <w:r>
        <w:rPr>
          <w:color w:val="auto"/>
          <w:sz w:val="24"/>
          <w:szCs w:val="24"/>
        </w:rPr>
        <w:t>5</w:t>
      </w:r>
      <w:r>
        <w:rPr>
          <w:rFonts w:cs="宋体" w:hint="eastAsia"/>
          <w:color w:val="auto"/>
          <w:sz w:val="24"/>
          <w:szCs w:val="24"/>
        </w:rPr>
        <w:t>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1</w:t>
      </w:r>
      <w:r>
        <w:rPr>
          <w:rFonts w:cs="宋体" w:hint="eastAsia"/>
          <w:color w:val="auto"/>
          <w:sz w:val="24"/>
          <w:szCs w:val="24"/>
        </w:rPr>
        <w:t>）投标人对水站站房及配套设施安全负责。负责站房仪器设备及配套设施的安全，保证门禁系统运行正常，确保水站财产安全。</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2</w:t>
      </w:r>
      <w:r>
        <w:rPr>
          <w:rFonts w:cs="宋体" w:hint="eastAsia"/>
          <w:color w:val="auto"/>
          <w:sz w:val="24"/>
          <w:szCs w:val="24"/>
        </w:rPr>
        <w:t>）投标人根据安全用电相关规定，聘请供电部门对水站专用变压器进行防雷年检，并对变压器及电力线路安全性进行检查。</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①水站专用变压器，需聘请具有专业资质的电工定期维护；</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②电源防雷，应联系专业单位进行年度检测，保证站房电源配电箱（柜）中防雷空气开关正常及电源接地线接地良好；</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③投标人应做好消防安全工作。</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水站应配备定温自动灭火器或手提式干粉灭火器，按照国家规定定期检查，确保灭火设备正常。</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④投标人负责对站房漏水及采水设施的维护维修和保养，完善采水设施和浮船的警示标志；</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⑤投标人应做好站房防雷工作</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每年投标人负责聘请有资质的检测部门对站房进行一次防雷检测，检查避雷带是否脱落，接地电阻是否合格等。对防雷设施不完善的，及时进行整改；</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⑥投标人对仪器设备外壳和机柜接地情况进行检测，如不符合相关技术标准要求，及时整改到位，保证接地良好；</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⑦投标人应确保</w:t>
      </w:r>
      <w:r>
        <w:rPr>
          <w:color w:val="auto"/>
          <w:sz w:val="24"/>
          <w:szCs w:val="24"/>
        </w:rPr>
        <w:t>VPN</w:t>
      </w:r>
      <w:r>
        <w:rPr>
          <w:rFonts w:cs="宋体" w:hint="eastAsia"/>
          <w:color w:val="auto"/>
          <w:sz w:val="24"/>
          <w:szCs w:val="24"/>
        </w:rPr>
        <w:t>数据传输设备、门禁系统、视频监控设施和光纤通讯线路等安</w:t>
      </w:r>
      <w:r>
        <w:rPr>
          <w:rFonts w:cs="宋体" w:hint="eastAsia"/>
          <w:color w:val="auto"/>
          <w:sz w:val="24"/>
          <w:szCs w:val="24"/>
        </w:rPr>
        <w:lastRenderedPageBreak/>
        <w:t>全运行工作；</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⑧投标人应做好汛期采水系统安全工作</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每年汛期，投标人应加强日常维护，做好系统的汛前准备、讯后恢复工作。做好水站的日常维护保养，根据防汛信息采取措施，在汛期前做好准备工作。跟踪（及时）了解河水的变化情况，并制定异常情况处理预案。汛期前可根据情况将浮船等采水系统移至安全地方。防汛期间需要暂停水站运行的，须上报采购人后再实施；</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⑨自动监测系统的全部资产（包括全部产权和建筑物、设备、软件、配套设施、水质自动站和配套监控系统产生的各类数据信息及相关文档资料）由甲方管理。未经甲方同意，投标人不得以任何方式对各类财产进行出售、抵押或转移；同时，在运维期间，投标人有责任保证全部资产的完整、安全并处于良好状态。</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7</w:t>
      </w:r>
      <w:r>
        <w:rPr>
          <w:rFonts w:cs="宋体" w:hint="eastAsia"/>
          <w:color w:val="auto"/>
          <w:sz w:val="24"/>
          <w:szCs w:val="24"/>
        </w:rPr>
        <w:t>、质控管理（</w:t>
      </w:r>
      <w:r>
        <w:rPr>
          <w:color w:val="auto"/>
          <w:sz w:val="24"/>
          <w:szCs w:val="24"/>
        </w:rPr>
        <w:t>15</w:t>
      </w:r>
      <w:r>
        <w:rPr>
          <w:rFonts w:cs="宋体" w:hint="eastAsia"/>
          <w:color w:val="auto"/>
          <w:sz w:val="24"/>
          <w:szCs w:val="24"/>
        </w:rPr>
        <w:t>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1</w:t>
      </w:r>
      <w:r>
        <w:rPr>
          <w:rFonts w:cs="宋体" w:hint="eastAsia"/>
          <w:color w:val="auto"/>
          <w:sz w:val="24"/>
          <w:szCs w:val="24"/>
        </w:rPr>
        <w:t>）质控要求</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按照《地表水自动监测技术规范》（</w:t>
      </w:r>
      <w:r>
        <w:rPr>
          <w:color w:val="auto"/>
          <w:sz w:val="24"/>
          <w:szCs w:val="24"/>
        </w:rPr>
        <w:t>HJ 915-2017</w:t>
      </w:r>
      <w:r>
        <w:rPr>
          <w:rFonts w:cs="宋体" w:hint="eastAsia"/>
          <w:color w:val="auto"/>
          <w:sz w:val="24"/>
          <w:szCs w:val="24"/>
        </w:rPr>
        <w:t>）要求，水站质控须达到以下要求：</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①投标人定期对本单位开展地表水自动监测人员进行技术培训和技术指导，培训情况上报采购人备案；</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②投标人负责履行省控水站日常运行的质量管理和技术要求，确保水站质量保证和控制措施落实到位，水站数据质量准确可靠；</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③投标人须按照采购人的要求，对水站实施日常运维质控管理；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④每周对水站至少进行</w:t>
      </w:r>
      <w:r>
        <w:rPr>
          <w:color w:val="auto"/>
          <w:sz w:val="24"/>
          <w:szCs w:val="24"/>
        </w:rPr>
        <w:t>1</w:t>
      </w:r>
      <w:r>
        <w:rPr>
          <w:rFonts w:cs="宋体" w:hint="eastAsia"/>
          <w:color w:val="auto"/>
          <w:sz w:val="24"/>
          <w:szCs w:val="24"/>
        </w:rPr>
        <w:t>次现场巡检，对水站系统仪器设备进行现场质量控制，并通过工控机现场登录系统平台，按照要求认真填报水站运维记录；</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⑤非巡检时间，水站系统若有异常情况发生应及时现场解决；</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⑥投标人应严格按照采购人的要求，落实水站每周比对、核查等质量管理措施。委托有资质的环境监测机构使用国家标准分析方法进行比对、标样核查监测等工作；</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⑦五参数、高锰酸盐指数、氨氮、总磷、总氮等常规监测因子的国家标准分析方法与自动监测的比对实验，自动监测数据与实验室同步分析实际水样测试数据进行比对，比对实验结果相对误差按照《地表水自动监测技术规范》（</w:t>
      </w:r>
      <w:r>
        <w:rPr>
          <w:color w:val="auto"/>
          <w:sz w:val="24"/>
          <w:szCs w:val="24"/>
        </w:rPr>
        <w:t>HJ 915-2017</w:t>
      </w:r>
      <w:r>
        <w:rPr>
          <w:rFonts w:cs="宋体" w:hint="eastAsia"/>
          <w:color w:val="auto"/>
          <w:sz w:val="24"/>
          <w:szCs w:val="24"/>
        </w:rPr>
        <w:t>）》执行；</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⑧在线监测仪器期间核查</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投标人每半年对监测仪器进行</w:t>
      </w:r>
      <w:r>
        <w:rPr>
          <w:color w:val="auto"/>
          <w:sz w:val="24"/>
          <w:szCs w:val="24"/>
        </w:rPr>
        <w:t>1</w:t>
      </w:r>
      <w:r>
        <w:rPr>
          <w:rFonts w:cs="宋体" w:hint="eastAsia"/>
          <w:color w:val="auto"/>
          <w:sz w:val="24"/>
          <w:szCs w:val="24"/>
        </w:rPr>
        <w:t>次期间核查；</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投标人应定期维护仪器设备，在仪器发生故障时，能及时发现和维修，修复后及时仪器进行重新检定或校准，并进行仪器性能测试，确保监测仪器在正常状态下工作；</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⑨在线监测仪器性能测试</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精密度和准确度：按照《地表水自动监测技术规范》（</w:t>
      </w:r>
      <w:r>
        <w:rPr>
          <w:color w:val="auto"/>
          <w:sz w:val="24"/>
          <w:szCs w:val="24"/>
        </w:rPr>
        <w:t>HJ 915-2017</w:t>
      </w:r>
      <w:r>
        <w:rPr>
          <w:rFonts w:cs="宋体" w:hint="eastAsia"/>
          <w:color w:val="auto"/>
          <w:sz w:val="24"/>
          <w:szCs w:val="24"/>
        </w:rPr>
        <w:t>）》执行；</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投标人每年按照仪器说明书要求对监测仪器进行</w:t>
      </w:r>
      <w:r>
        <w:rPr>
          <w:color w:val="auto"/>
          <w:sz w:val="24"/>
          <w:szCs w:val="24"/>
        </w:rPr>
        <w:t>1</w:t>
      </w:r>
      <w:r>
        <w:rPr>
          <w:rFonts w:cs="宋体" w:hint="eastAsia"/>
          <w:color w:val="auto"/>
          <w:sz w:val="24"/>
          <w:szCs w:val="24"/>
        </w:rPr>
        <w:t>次多点校准。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2</w:t>
      </w:r>
      <w:r>
        <w:rPr>
          <w:rFonts w:cs="宋体" w:hint="eastAsia"/>
          <w:color w:val="auto"/>
          <w:sz w:val="24"/>
          <w:szCs w:val="24"/>
        </w:rPr>
        <w:t>）试剂质量要求</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水站所用试剂必须为分析纯或优级纯级别，且未失效；所用纯水或超纯水须达到相关技术要求。</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lastRenderedPageBreak/>
        <w:t>①标准溶液和试剂的配制按计量认证的要求进行；</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②标准贮备液在冷藏柜（</w:t>
      </w:r>
      <w:r>
        <w:rPr>
          <w:color w:val="auto"/>
          <w:sz w:val="24"/>
          <w:szCs w:val="24"/>
        </w:rPr>
        <w:t>4</w:t>
      </w:r>
      <w:r>
        <w:rPr>
          <w:rFonts w:cs="宋体" w:hint="eastAsia"/>
          <w:color w:val="auto"/>
          <w:sz w:val="24"/>
          <w:szCs w:val="24"/>
        </w:rPr>
        <w:t>℃）中保存期限一般不得超过半年；</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③标准使用液在冷藏柜（</w:t>
      </w:r>
      <w:r>
        <w:rPr>
          <w:color w:val="auto"/>
          <w:sz w:val="24"/>
          <w:szCs w:val="24"/>
        </w:rPr>
        <w:t>4</w:t>
      </w:r>
      <w:r>
        <w:rPr>
          <w:rFonts w:cs="宋体" w:hint="eastAsia"/>
          <w:color w:val="auto"/>
          <w:sz w:val="24"/>
          <w:szCs w:val="24"/>
        </w:rPr>
        <w:t>℃）中贮存期除有明确的规定外，一般不得超过三个月，或根据需要临用现配；</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④水站仪器所用试剂更换周期应根据试剂稳定性有所区别，一般不超过两星期，最长不得超过一个月，总磷总氮仪器所用抗坏血酸试剂必须每半月更换一次（发现变色需随时更换）。</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3</w:t>
      </w:r>
      <w:r>
        <w:rPr>
          <w:rFonts w:cs="宋体" w:hint="eastAsia"/>
          <w:color w:val="auto"/>
          <w:sz w:val="24"/>
          <w:szCs w:val="24"/>
        </w:rPr>
        <w:t>）质量控制监督检查</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①采购人对投标人运维水站的运行情况、自动监测数据质量进行定期或不定期的专项检查；</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②采购人对投标人运维水站实施现场质量管理检查与现场质控考核的飞行巡检。飞行检查包括国家、省厅各种现场检查；</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③采购人对投标人不定期进行能力验证考核；</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④投标人应按照“单周比对、双周核查”的要求，对水站所有监测因子进行水样比对检查和标液核查。比对和核查应按照国家相关实验规定执行，实验数据应具有法律效力。</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4</w:t>
      </w:r>
      <w:r>
        <w:rPr>
          <w:rFonts w:cs="宋体" w:hint="eastAsia"/>
          <w:color w:val="auto"/>
          <w:sz w:val="24"/>
          <w:szCs w:val="24"/>
        </w:rPr>
        <w:t>）水站运行异常情况报告</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①发生下列情况导致水站不能正常运行的，投标人应及时向采购人报告并采取相应措施：</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水站所在地进行建设施工，水站在短期内无法运行的；</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水站所在地供电系统发生故障，影响水站运行的；</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取水河段断流、河槽改道无法取水或水深低于</w:t>
      </w:r>
      <w:r>
        <w:rPr>
          <w:color w:val="auto"/>
          <w:sz w:val="24"/>
          <w:szCs w:val="24"/>
        </w:rPr>
        <w:t>50</w:t>
      </w:r>
      <w:r>
        <w:rPr>
          <w:rFonts w:cs="宋体" w:hint="eastAsia"/>
          <w:color w:val="auto"/>
          <w:sz w:val="24"/>
          <w:szCs w:val="24"/>
        </w:rPr>
        <w:t>厘米影响取水水质的；</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水站系统发生故障，在短时间内不能恢复的；</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水站上游人为采取措施，阻断来水，影响水质监测的；</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出现人为干扰和可能干扰水站自动监测数据质量的行为；</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出现《环境监测数据弄虚作假行为判定及处理办法》（生态环境部发布）中定义的弄虚作假行为的。</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②水质自动站出现系统或仪器故障，导致超过</w:t>
      </w:r>
      <w:r>
        <w:rPr>
          <w:color w:val="auto"/>
          <w:sz w:val="24"/>
          <w:szCs w:val="24"/>
        </w:rPr>
        <w:t>48</w:t>
      </w:r>
      <w:r>
        <w:rPr>
          <w:rFonts w:cs="宋体" w:hint="eastAsia"/>
          <w:color w:val="auto"/>
          <w:sz w:val="24"/>
          <w:szCs w:val="24"/>
        </w:rPr>
        <w:t>小时没有自动监测数据时，乙方须提供备机或每</w:t>
      </w:r>
      <w:r>
        <w:rPr>
          <w:color w:val="auto"/>
          <w:sz w:val="24"/>
          <w:szCs w:val="24"/>
        </w:rPr>
        <w:t>7</w:t>
      </w:r>
      <w:r>
        <w:rPr>
          <w:rFonts w:cs="宋体" w:hint="eastAsia"/>
          <w:color w:val="auto"/>
          <w:sz w:val="24"/>
          <w:szCs w:val="24"/>
        </w:rPr>
        <w:t>天提供</w:t>
      </w:r>
      <w:r>
        <w:rPr>
          <w:color w:val="auto"/>
          <w:sz w:val="24"/>
          <w:szCs w:val="24"/>
        </w:rPr>
        <w:t>2</w:t>
      </w:r>
      <w:r>
        <w:rPr>
          <w:rFonts w:cs="宋体" w:hint="eastAsia"/>
          <w:color w:val="auto"/>
          <w:sz w:val="24"/>
          <w:szCs w:val="24"/>
        </w:rPr>
        <w:t>次实验室分析数据，两次分析数据至少间隔</w:t>
      </w:r>
      <w:r>
        <w:rPr>
          <w:color w:val="auto"/>
          <w:sz w:val="24"/>
          <w:szCs w:val="24"/>
        </w:rPr>
        <w:t>48</w:t>
      </w:r>
      <w:r>
        <w:rPr>
          <w:rFonts w:cs="宋体" w:hint="eastAsia"/>
          <w:color w:val="auto"/>
          <w:sz w:val="24"/>
          <w:szCs w:val="24"/>
        </w:rPr>
        <w:t>小时。</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③因客观原因导致水质自动站停电，整周无自动监测数据时，投标人每周必须委托有资质的第三方环境监测机构进行至少</w:t>
      </w:r>
      <w:r>
        <w:rPr>
          <w:color w:val="auto"/>
          <w:sz w:val="24"/>
          <w:szCs w:val="24"/>
        </w:rPr>
        <w:t>2</w:t>
      </w:r>
      <w:r>
        <w:rPr>
          <w:rFonts w:cs="宋体" w:hint="eastAsia"/>
          <w:color w:val="auto"/>
          <w:sz w:val="24"/>
          <w:szCs w:val="24"/>
        </w:rPr>
        <w:t>次实验室分析测试。</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④在线分析仪器及水站各系统备品备件、易耗品按要求进行定时更换和按需更换。</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5</w:t>
      </w:r>
      <w:r>
        <w:rPr>
          <w:rFonts w:cs="宋体" w:hint="eastAsia"/>
          <w:color w:val="auto"/>
          <w:sz w:val="24"/>
          <w:szCs w:val="24"/>
        </w:rPr>
        <w:t>）水站运维质量技术档案管理</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①投标人建立水站运维技术人员动态档案，同时报送采购人。</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②投标人每月</w:t>
      </w:r>
      <w:r>
        <w:rPr>
          <w:color w:val="auto"/>
          <w:sz w:val="24"/>
          <w:szCs w:val="24"/>
        </w:rPr>
        <w:t>1</w:t>
      </w:r>
      <w:r>
        <w:rPr>
          <w:rFonts w:cs="宋体" w:hint="eastAsia"/>
          <w:color w:val="auto"/>
          <w:sz w:val="24"/>
          <w:szCs w:val="24"/>
        </w:rPr>
        <w:t>次将水站监测相关数据备份，归档保存。</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w:t>
      </w:r>
      <w:r>
        <w:rPr>
          <w:color w:val="auto"/>
          <w:sz w:val="24"/>
          <w:szCs w:val="24"/>
        </w:rPr>
        <w:t>6</w:t>
      </w:r>
      <w:r>
        <w:rPr>
          <w:rFonts w:cs="宋体" w:hint="eastAsia"/>
          <w:color w:val="auto"/>
          <w:sz w:val="24"/>
          <w:szCs w:val="24"/>
        </w:rPr>
        <w:t>）水站运维质量控制计划和报告</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①投标人应按采购人要求认真编写水站运维质量控制计划和报告。</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lastRenderedPageBreak/>
        <w:t>②按照要求编写水站运维年度质量保证工作计划并报送采购人。</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③每月结束</w:t>
      </w:r>
      <w:r>
        <w:rPr>
          <w:color w:val="auto"/>
          <w:sz w:val="24"/>
          <w:szCs w:val="24"/>
        </w:rPr>
        <w:t>5</w:t>
      </w:r>
      <w:r>
        <w:rPr>
          <w:rFonts w:cs="宋体" w:hint="eastAsia"/>
          <w:color w:val="auto"/>
          <w:sz w:val="24"/>
          <w:szCs w:val="24"/>
        </w:rPr>
        <w:t>个工作日内编写、报送水站运维质量保证工作月报和自查报告。</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④每年度结束后</w:t>
      </w:r>
      <w:r>
        <w:rPr>
          <w:color w:val="auto"/>
          <w:sz w:val="24"/>
          <w:szCs w:val="24"/>
        </w:rPr>
        <w:t>15</w:t>
      </w:r>
      <w:r>
        <w:rPr>
          <w:rFonts w:cs="宋体" w:hint="eastAsia"/>
          <w:color w:val="auto"/>
          <w:sz w:val="24"/>
          <w:szCs w:val="24"/>
        </w:rPr>
        <w:t>日内，编写、报送当年度水站运维质量保证工作总结。包括年度质量保证工作计划、各项质控措施实施情况的记录，水站日常数据检查处理情况、标液及试剂配制情况、每周运维情况、仪器维修校正情况、标准溶液的核查结果、能力验证与质控考核、比对实验的结果、自动监测系统日常运行情况等记录和年度质量保证工作总结。</w:t>
      </w:r>
    </w:p>
    <w:p w:rsidR="00B338FE" w:rsidRDefault="0070220A">
      <w:pPr>
        <w:widowControl w:val="0"/>
        <w:adjustRightInd w:val="0"/>
        <w:snapToGrid w:val="0"/>
        <w:spacing w:line="300" w:lineRule="auto"/>
        <w:ind w:firstLineChars="200" w:firstLine="482"/>
        <w:rPr>
          <w:b/>
          <w:bCs/>
          <w:color w:val="auto"/>
          <w:sz w:val="24"/>
          <w:szCs w:val="24"/>
        </w:rPr>
      </w:pPr>
      <w:r>
        <w:rPr>
          <w:rFonts w:cs="宋体" w:hint="eastAsia"/>
          <w:b/>
          <w:bCs/>
          <w:color w:val="auto"/>
          <w:sz w:val="24"/>
          <w:szCs w:val="24"/>
        </w:rPr>
        <w:t>五</w:t>
      </w:r>
      <w:r w:rsidR="00B11729">
        <w:rPr>
          <w:rFonts w:cs="宋体" w:hint="eastAsia"/>
          <w:b/>
          <w:bCs/>
          <w:color w:val="auto"/>
          <w:sz w:val="24"/>
          <w:szCs w:val="24"/>
        </w:rPr>
        <w:t>、其他规定</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w:t>
      </w:r>
      <w:r>
        <w:rPr>
          <w:rFonts w:cs="宋体" w:hint="eastAsia"/>
          <w:color w:val="auto"/>
          <w:sz w:val="24"/>
          <w:szCs w:val="24"/>
        </w:rPr>
        <w:t>一）中标人存在以下行为之一的，采购人启动合同扣款程序。</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、违反运维管理规定相关要求；</w:t>
      </w:r>
      <w:r>
        <w:rPr>
          <w:color w:val="auto"/>
          <w:sz w:val="24"/>
          <w:szCs w:val="24"/>
        </w:rPr>
        <w:t xml:space="preserve"> </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、中标人违反本办法其他项规定的；</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3</w:t>
      </w:r>
      <w:r>
        <w:rPr>
          <w:rFonts w:cs="宋体" w:hint="eastAsia"/>
          <w:color w:val="auto"/>
          <w:sz w:val="24"/>
          <w:szCs w:val="24"/>
        </w:rPr>
        <w:t>、运维工作受到生态环境部、省厅、省生态环境监测中心和三门峡市生态环境局致函或通报批评的；</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4</w:t>
      </w:r>
      <w:r>
        <w:rPr>
          <w:rFonts w:cs="宋体" w:hint="eastAsia"/>
          <w:color w:val="auto"/>
          <w:sz w:val="24"/>
          <w:szCs w:val="24"/>
        </w:rPr>
        <w:t>、迟报、漏报或不报审核数据的，拖延、阻碍、拒绝质量检查或飞行检查的；</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5</w:t>
      </w:r>
      <w:r>
        <w:rPr>
          <w:rFonts w:cs="宋体" w:hint="eastAsia"/>
          <w:color w:val="auto"/>
          <w:sz w:val="24"/>
          <w:szCs w:val="24"/>
        </w:rPr>
        <w:t>、水站主要监测仪器设备故障超过</w:t>
      </w:r>
      <w:r>
        <w:rPr>
          <w:color w:val="auto"/>
          <w:sz w:val="24"/>
          <w:szCs w:val="24"/>
        </w:rPr>
        <w:t>48</w:t>
      </w:r>
      <w:r>
        <w:rPr>
          <w:rFonts w:cs="宋体" w:hint="eastAsia"/>
          <w:color w:val="auto"/>
          <w:sz w:val="24"/>
          <w:szCs w:val="24"/>
        </w:rPr>
        <w:t>小时未解决的，扣除相应运行经费；此后每超过</w:t>
      </w:r>
      <w:r>
        <w:rPr>
          <w:color w:val="auto"/>
          <w:sz w:val="24"/>
          <w:szCs w:val="24"/>
        </w:rPr>
        <w:t>24</w:t>
      </w:r>
      <w:r>
        <w:rPr>
          <w:rFonts w:cs="宋体" w:hint="eastAsia"/>
          <w:color w:val="auto"/>
          <w:sz w:val="24"/>
          <w:szCs w:val="24"/>
        </w:rPr>
        <w:t>小时，继续扣除相应运维经费；超过</w:t>
      </w:r>
      <w:r>
        <w:rPr>
          <w:color w:val="auto"/>
          <w:sz w:val="24"/>
          <w:szCs w:val="24"/>
        </w:rPr>
        <w:t>7</w:t>
      </w:r>
      <w:r>
        <w:rPr>
          <w:rFonts w:cs="宋体" w:hint="eastAsia"/>
          <w:color w:val="auto"/>
          <w:sz w:val="24"/>
          <w:szCs w:val="24"/>
        </w:rPr>
        <w:t>天未解决，不支付当期仪器运维费用，采购人可根据情况解除运维合同；</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6</w:t>
      </w:r>
      <w:r>
        <w:rPr>
          <w:rFonts w:cs="宋体" w:hint="eastAsia"/>
          <w:color w:val="auto"/>
          <w:sz w:val="24"/>
          <w:szCs w:val="24"/>
        </w:rPr>
        <w:t>、未经采购人同意私自更换项目经理或驻场人员，运维人员发生人员变更（除人员离职外）；</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7</w:t>
      </w:r>
      <w:r>
        <w:rPr>
          <w:rFonts w:cs="宋体" w:hint="eastAsia"/>
          <w:color w:val="auto"/>
          <w:sz w:val="24"/>
          <w:szCs w:val="24"/>
        </w:rPr>
        <w:t>、运维期间，中标人未按安全生产有关规定，建立安全生产制度，切实消除安全隐患的。</w:t>
      </w:r>
    </w:p>
    <w:p w:rsidR="00B338FE" w:rsidRDefault="00B11729">
      <w:pPr>
        <w:widowControl w:val="0"/>
        <w:adjustRightInd w:val="0"/>
        <w:snapToGrid w:val="0"/>
        <w:spacing w:line="300" w:lineRule="auto"/>
        <w:ind w:firstLineChars="200" w:firstLine="480"/>
        <w:rPr>
          <w:color w:val="auto"/>
          <w:sz w:val="24"/>
          <w:szCs w:val="24"/>
        </w:rPr>
      </w:pPr>
      <w:r>
        <w:rPr>
          <w:rFonts w:cs="宋体" w:hint="eastAsia"/>
          <w:color w:val="auto"/>
          <w:sz w:val="24"/>
          <w:szCs w:val="24"/>
        </w:rPr>
        <w:t>（二）终止合同相关规定</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1</w:t>
      </w:r>
      <w:r>
        <w:rPr>
          <w:rFonts w:cs="宋体" w:hint="eastAsia"/>
          <w:color w:val="auto"/>
          <w:sz w:val="24"/>
          <w:szCs w:val="24"/>
        </w:rPr>
        <w:t>、中标人应承担监测数据的保密责任（签订保密协议），不得利用本项目的数据、档案或有关资料对外开展技术交流、业务联系、数据交换等。否则，采购人有权终止合同；</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2</w:t>
      </w:r>
      <w:r>
        <w:rPr>
          <w:rFonts w:cs="宋体" w:hint="eastAsia"/>
          <w:color w:val="auto"/>
          <w:sz w:val="24"/>
          <w:szCs w:val="24"/>
        </w:rPr>
        <w:t>、运维期间出现调整数据、修改参数、改动设备、弄虚作假等违规行为的，采购人有权终止运维合同；</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4</w:t>
      </w:r>
      <w:r>
        <w:rPr>
          <w:rFonts w:cs="宋体" w:hint="eastAsia"/>
          <w:color w:val="auto"/>
          <w:sz w:val="24"/>
          <w:szCs w:val="24"/>
        </w:rPr>
        <w:t>、对实施或参与实施《环境监测数据弄虚作假行为判定及处理办法》中认定的篡改、伪造或者指使篡改、伪造监测数据行为的；实施或强令、指使、授意他人实施修改参数，或者干扰采样致使监测数据严重失真的；实施或参与实施干扰自动监测设施、破坏环境质量监测系统的；其他破坏环境质量监测系统的情形。采购人终止合同，并向社会公开相关合同终止信息；</w:t>
      </w:r>
    </w:p>
    <w:p w:rsidR="00B338FE" w:rsidRDefault="00B11729">
      <w:pPr>
        <w:widowControl w:val="0"/>
        <w:adjustRightInd w:val="0"/>
        <w:snapToGrid w:val="0"/>
        <w:spacing w:line="300" w:lineRule="auto"/>
        <w:ind w:firstLineChars="200" w:firstLine="480"/>
        <w:rPr>
          <w:color w:val="auto"/>
          <w:sz w:val="24"/>
          <w:szCs w:val="24"/>
        </w:rPr>
      </w:pPr>
      <w:r>
        <w:rPr>
          <w:color w:val="auto"/>
          <w:sz w:val="24"/>
          <w:szCs w:val="24"/>
        </w:rPr>
        <w:t>5</w:t>
      </w:r>
      <w:r>
        <w:rPr>
          <w:rFonts w:cs="宋体" w:hint="eastAsia"/>
          <w:color w:val="auto"/>
          <w:sz w:val="24"/>
          <w:szCs w:val="24"/>
        </w:rPr>
        <w:t>、终止合同前，采购人将对水质自动站进行仪器性能测试。如运维机构不配合，采购人将其加入黑名单，在水质自动站运维管理项目招标时，不予考虑。</w:t>
      </w:r>
    </w:p>
    <w:p w:rsidR="00B338FE" w:rsidRDefault="00B11729">
      <w:pPr>
        <w:spacing w:line="360" w:lineRule="auto"/>
        <w:ind w:right="238"/>
        <w:jc w:val="center"/>
        <w:outlineLvl w:val="0"/>
        <w:rPr>
          <w:rFonts w:ascii="黑体" w:eastAsia="黑体" w:hAnsi="黑体"/>
          <w:b/>
          <w:bCs/>
          <w:color w:val="auto"/>
          <w:sz w:val="24"/>
          <w:szCs w:val="24"/>
        </w:rPr>
      </w:pPr>
      <w:r>
        <w:rPr>
          <w:rFonts w:ascii="黑体" w:eastAsia="黑体" w:hAnsi="黑体"/>
          <w:b/>
          <w:bCs/>
          <w:color w:val="auto"/>
          <w:sz w:val="24"/>
          <w:szCs w:val="24"/>
        </w:rPr>
        <w:br w:type="page"/>
      </w:r>
    </w:p>
    <w:p w:rsidR="00B338FE" w:rsidRDefault="00B11729">
      <w:pPr>
        <w:keepNext/>
        <w:keepLines/>
        <w:widowControl w:val="0"/>
        <w:spacing w:beforeLines="200" w:before="624" w:afterLines="200" w:after="624" w:line="360" w:lineRule="auto"/>
        <w:jc w:val="center"/>
        <w:textAlignment w:val="auto"/>
        <w:outlineLvl w:val="0"/>
        <w:rPr>
          <w:rFonts w:ascii="黑体" w:eastAsia="黑体" w:hAnsi="黑体"/>
          <w:b/>
          <w:bCs/>
          <w:color w:val="auto"/>
          <w:kern w:val="44"/>
          <w:sz w:val="24"/>
          <w:szCs w:val="24"/>
        </w:rPr>
      </w:pPr>
      <w:bookmarkStart w:id="4" w:name="_Toc98489254"/>
      <w:r>
        <w:rPr>
          <w:rFonts w:ascii="黑体" w:eastAsia="黑体" w:hAnsi="黑体" w:cs="黑体" w:hint="eastAsia"/>
          <w:b/>
          <w:bCs/>
          <w:color w:val="auto"/>
          <w:kern w:val="44"/>
          <w:sz w:val="36"/>
          <w:szCs w:val="36"/>
          <w:lang w:val="zh-CN"/>
        </w:rPr>
        <w:lastRenderedPageBreak/>
        <w:t>第二章</w:t>
      </w:r>
      <w:r>
        <w:rPr>
          <w:rFonts w:ascii="黑体" w:eastAsia="黑体" w:hAnsi="黑体" w:cs="黑体"/>
          <w:b/>
          <w:bCs/>
          <w:color w:val="auto"/>
          <w:kern w:val="44"/>
          <w:sz w:val="36"/>
          <w:szCs w:val="36"/>
          <w:lang w:val="zh-CN"/>
        </w:rPr>
        <w:t xml:space="preserve">  </w:t>
      </w:r>
      <w:r>
        <w:rPr>
          <w:rFonts w:ascii="黑体" w:eastAsia="黑体" w:hAnsi="黑体" w:cs="黑体" w:hint="eastAsia"/>
          <w:b/>
          <w:bCs/>
          <w:color w:val="auto"/>
          <w:kern w:val="44"/>
          <w:sz w:val="36"/>
          <w:szCs w:val="36"/>
          <w:lang w:val="zh-CN"/>
        </w:rPr>
        <w:t>评标办法（综合评分法）</w:t>
      </w:r>
      <w:bookmarkEnd w:id="4"/>
    </w:p>
    <w:p w:rsidR="00B338FE" w:rsidRDefault="00B11729">
      <w:r>
        <w:rPr>
          <w:rFonts w:hint="eastAsia"/>
        </w:rPr>
        <w:t>一、评标办法</w:t>
      </w:r>
    </w:p>
    <w:p w:rsidR="00B338FE" w:rsidRDefault="00B11729">
      <w:r>
        <w:rPr>
          <w:rFonts w:hint="eastAsia"/>
        </w:rPr>
        <w:t>一）、本次评标采用综合评分法，总分</w:t>
      </w:r>
      <w:r>
        <w:t>100</w:t>
      </w:r>
      <w:r>
        <w:t>分。从价格、技术、商务、服务四个方面进行评审。</w:t>
      </w:r>
    </w:p>
    <w:p w:rsidR="00B338FE" w:rsidRDefault="00B11729">
      <w:r>
        <w:rPr>
          <w:rFonts w:hint="eastAsia"/>
        </w:rPr>
        <w:t>二）、评标原则：</w:t>
      </w:r>
    </w:p>
    <w:p w:rsidR="00B338FE" w:rsidRDefault="00B11729">
      <w:r>
        <w:t>1</w:t>
      </w:r>
      <w:r>
        <w:t>）、按照公开、公平的原则对待所有供应商</w:t>
      </w:r>
    </w:p>
    <w:p w:rsidR="00B338FE" w:rsidRDefault="00B11729">
      <w:r>
        <w:t>2</w:t>
      </w:r>
      <w:r>
        <w:t>）、坚持招标文件的所有有关规定，公平评标。</w:t>
      </w:r>
    </w:p>
    <w:p w:rsidR="00B338FE" w:rsidRDefault="00B11729">
      <w:r>
        <w:t>3</w:t>
      </w:r>
      <w:r>
        <w:t>）、每个供应商最终得分以各评委打分的平均值计算。</w:t>
      </w:r>
    </w:p>
    <w:p w:rsidR="00B338FE" w:rsidRDefault="00B11729">
      <w:r>
        <w:t>4</w:t>
      </w:r>
      <w:r>
        <w:t>）、本办法中定性、定量部分由评标委员会指定不少于两名评委进行，相互校正，以确保计分准确，计分过程中按四舍五入的原则，取小数点后三位，最终取到小数点后两位。</w:t>
      </w:r>
    </w:p>
    <w:p w:rsidR="00B338FE" w:rsidRDefault="00B11729">
      <w:r>
        <w:t>5</w:t>
      </w:r>
      <w:r>
        <w:t>）、评标结束后，各供应商的得分按高低顺序排列，推荐前三名为中标候选人。</w:t>
      </w:r>
    </w:p>
    <w:p w:rsidR="00B338FE" w:rsidRDefault="00B338FE">
      <w:bookmarkStart w:id="5" w:name="_GoBack"/>
      <w:bookmarkEnd w:id="5"/>
    </w:p>
    <w:tbl>
      <w:tblPr>
        <w:tblW w:w="88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
        <w:gridCol w:w="518"/>
        <w:gridCol w:w="709"/>
        <w:gridCol w:w="1417"/>
        <w:gridCol w:w="851"/>
        <w:gridCol w:w="5357"/>
      </w:tblGrid>
      <w:tr w:rsidR="00B338FE">
        <w:trPr>
          <w:gridBefore w:val="1"/>
          <w:wBefore w:w="6" w:type="dxa"/>
          <w:trHeight w:val="120"/>
          <w:tblHeader/>
          <w:jc w:val="center"/>
        </w:trPr>
        <w:tc>
          <w:tcPr>
            <w:tcW w:w="518"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序号</w:t>
            </w:r>
          </w:p>
        </w:tc>
        <w:tc>
          <w:tcPr>
            <w:tcW w:w="709"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项目</w:t>
            </w:r>
          </w:p>
        </w:tc>
        <w:tc>
          <w:tcPr>
            <w:tcW w:w="1417"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评审内容</w:t>
            </w:r>
          </w:p>
        </w:tc>
        <w:tc>
          <w:tcPr>
            <w:tcW w:w="851"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满分</w:t>
            </w:r>
          </w:p>
        </w:tc>
        <w:tc>
          <w:tcPr>
            <w:tcW w:w="5357"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评审标准</w:t>
            </w:r>
          </w:p>
        </w:tc>
      </w:tr>
      <w:tr w:rsidR="00B338FE">
        <w:trPr>
          <w:gridBefore w:val="1"/>
          <w:wBefore w:w="6" w:type="dxa"/>
          <w:trHeight w:val="128"/>
          <w:jc w:val="center"/>
        </w:trPr>
        <w:tc>
          <w:tcPr>
            <w:tcW w:w="8852" w:type="dxa"/>
            <w:gridSpan w:val="5"/>
            <w:vAlign w:val="center"/>
          </w:tcPr>
          <w:p w:rsidR="00B338FE" w:rsidRDefault="00B11729" w:rsidP="00696A3F">
            <w:pPr>
              <w:autoSpaceDE w:val="0"/>
              <w:autoSpaceDN w:val="0"/>
              <w:adjustRightInd w:val="0"/>
              <w:snapToGrid w:val="0"/>
              <w:jc w:val="center"/>
              <w:rPr>
                <w:rFonts w:ascii="宋体" w:hAnsi="宋体" w:cs="宋体"/>
              </w:rPr>
            </w:pPr>
            <w:r>
              <w:rPr>
                <w:rFonts w:ascii="宋体" w:hAnsi="宋体" w:cs="宋体"/>
              </w:rPr>
              <w:t>一、价格部分（</w:t>
            </w:r>
            <w:r w:rsidR="00696A3F">
              <w:rPr>
                <w:rFonts w:ascii="宋体" w:hAnsi="宋体" w:cs="宋体" w:hint="eastAsia"/>
              </w:rPr>
              <w:t>2</w:t>
            </w:r>
            <w:r>
              <w:rPr>
                <w:rFonts w:ascii="宋体" w:hAnsi="宋体" w:cs="宋体"/>
              </w:rPr>
              <w:t>0分）</w:t>
            </w:r>
          </w:p>
        </w:tc>
      </w:tr>
      <w:tr w:rsidR="00B338FE">
        <w:trPr>
          <w:gridBefore w:val="1"/>
          <w:wBefore w:w="6" w:type="dxa"/>
          <w:trHeight w:val="1249"/>
          <w:jc w:val="center"/>
        </w:trPr>
        <w:tc>
          <w:tcPr>
            <w:tcW w:w="518"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1</w:t>
            </w:r>
          </w:p>
        </w:tc>
        <w:tc>
          <w:tcPr>
            <w:tcW w:w="709"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价格分</w:t>
            </w:r>
          </w:p>
        </w:tc>
        <w:tc>
          <w:tcPr>
            <w:tcW w:w="1417"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投标报价</w:t>
            </w:r>
          </w:p>
        </w:tc>
        <w:tc>
          <w:tcPr>
            <w:tcW w:w="851" w:type="dxa"/>
            <w:shd w:val="clear" w:color="auto" w:fill="FFFFFF"/>
            <w:vAlign w:val="center"/>
          </w:tcPr>
          <w:p w:rsidR="00B338FE" w:rsidRDefault="00696A3F">
            <w:pPr>
              <w:autoSpaceDE w:val="0"/>
              <w:autoSpaceDN w:val="0"/>
              <w:adjustRightInd w:val="0"/>
              <w:snapToGrid w:val="0"/>
              <w:jc w:val="center"/>
              <w:rPr>
                <w:rFonts w:ascii="宋体" w:hAnsi="宋体" w:cs="宋体"/>
              </w:rPr>
            </w:pPr>
            <w:r>
              <w:rPr>
                <w:rFonts w:ascii="宋体" w:hAnsi="宋体" w:cs="宋体" w:hint="eastAsia"/>
              </w:rPr>
              <w:t>2</w:t>
            </w:r>
            <w:r w:rsidR="00B11729">
              <w:rPr>
                <w:rFonts w:ascii="宋体" w:hAnsi="宋体" w:cs="宋体"/>
              </w:rPr>
              <w:t>0</w:t>
            </w:r>
          </w:p>
        </w:tc>
        <w:tc>
          <w:tcPr>
            <w:tcW w:w="5357" w:type="dxa"/>
            <w:vAlign w:val="center"/>
          </w:tcPr>
          <w:p w:rsidR="00B338FE" w:rsidRDefault="00B11729" w:rsidP="00954AE4">
            <w:pPr>
              <w:autoSpaceDE w:val="0"/>
              <w:autoSpaceDN w:val="0"/>
              <w:adjustRightInd w:val="0"/>
              <w:snapToGrid w:val="0"/>
              <w:rPr>
                <w:rFonts w:ascii="宋体" w:hAnsi="宋体" w:cs="宋体"/>
              </w:rPr>
            </w:pPr>
            <w:r>
              <w:rPr>
                <w:rFonts w:ascii="宋体" w:hAnsi="宋体" w:cs="宋体"/>
              </w:rPr>
              <w:t>价格分按低价优先法计算，其中：满足招标文件要求且评标价格最低的为评标基准价，其价格分为满分。其他投标人的价格分统一按照下列公式计算：投标报价得分=（评标基准价／投标报价）×</w:t>
            </w:r>
            <w:r w:rsidR="00954AE4">
              <w:rPr>
                <w:rFonts w:ascii="宋体" w:hAnsi="宋体" w:cs="宋体" w:hint="eastAsia"/>
              </w:rPr>
              <w:t>2</w:t>
            </w:r>
            <w:r>
              <w:rPr>
                <w:rFonts w:ascii="宋体" w:hAnsi="宋体" w:cs="宋体"/>
              </w:rPr>
              <w:t>0。</w:t>
            </w:r>
          </w:p>
        </w:tc>
      </w:tr>
      <w:tr w:rsidR="00B338FE">
        <w:trPr>
          <w:gridBefore w:val="1"/>
          <w:wBefore w:w="6" w:type="dxa"/>
          <w:trHeight w:val="128"/>
          <w:jc w:val="center"/>
        </w:trPr>
        <w:tc>
          <w:tcPr>
            <w:tcW w:w="8852" w:type="dxa"/>
            <w:gridSpan w:val="5"/>
            <w:vAlign w:val="center"/>
          </w:tcPr>
          <w:p w:rsidR="00B338FE" w:rsidRDefault="00B11729" w:rsidP="001A7A25">
            <w:pPr>
              <w:autoSpaceDE w:val="0"/>
              <w:autoSpaceDN w:val="0"/>
              <w:adjustRightInd w:val="0"/>
              <w:snapToGrid w:val="0"/>
              <w:jc w:val="center"/>
              <w:rPr>
                <w:rFonts w:ascii="宋体" w:hAnsi="宋体" w:cs="宋体"/>
              </w:rPr>
            </w:pPr>
            <w:r>
              <w:rPr>
                <w:rFonts w:ascii="宋体" w:hAnsi="宋体" w:cs="宋体" w:hint="eastAsia"/>
              </w:rPr>
              <w:t>二、商务部分（</w:t>
            </w:r>
            <w:r w:rsidR="001A7A25">
              <w:rPr>
                <w:rFonts w:ascii="宋体" w:hAnsi="宋体" w:cs="宋体" w:hint="eastAsia"/>
              </w:rPr>
              <w:t>36</w:t>
            </w:r>
            <w:r>
              <w:rPr>
                <w:rFonts w:ascii="宋体" w:hAnsi="宋体" w:cs="宋体" w:hint="eastAsia"/>
              </w:rPr>
              <w:t>分）</w:t>
            </w:r>
          </w:p>
        </w:tc>
      </w:tr>
      <w:tr w:rsidR="00B338FE">
        <w:trPr>
          <w:trHeight w:val="1217"/>
          <w:jc w:val="center"/>
        </w:trPr>
        <w:tc>
          <w:tcPr>
            <w:tcW w:w="524" w:type="dxa"/>
            <w:gridSpan w:val="2"/>
            <w:vMerge w:val="restart"/>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2</w:t>
            </w:r>
          </w:p>
        </w:tc>
        <w:tc>
          <w:tcPr>
            <w:tcW w:w="709" w:type="dxa"/>
            <w:vMerge w:val="restart"/>
            <w:vAlign w:val="center"/>
          </w:tcPr>
          <w:p w:rsidR="00B338FE" w:rsidRDefault="00B11729">
            <w:pPr>
              <w:autoSpaceDE w:val="0"/>
              <w:autoSpaceDN w:val="0"/>
              <w:adjustRightInd w:val="0"/>
              <w:snapToGrid w:val="0"/>
              <w:jc w:val="center"/>
              <w:rPr>
                <w:rFonts w:ascii="宋体" w:hAnsi="宋体" w:cs="宋体"/>
              </w:rPr>
            </w:pPr>
            <w:r>
              <w:rPr>
                <w:rFonts w:ascii="宋体" w:hAnsi="宋体" w:cs="宋体" w:hint="eastAsia"/>
              </w:rPr>
              <w:t>商务评分</w:t>
            </w:r>
          </w:p>
        </w:tc>
        <w:tc>
          <w:tcPr>
            <w:tcW w:w="1417"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hint="eastAsia"/>
              </w:rPr>
              <w:t>内部质量管理体系</w:t>
            </w:r>
          </w:p>
        </w:tc>
        <w:tc>
          <w:tcPr>
            <w:tcW w:w="851"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10</w:t>
            </w:r>
          </w:p>
        </w:tc>
        <w:tc>
          <w:tcPr>
            <w:tcW w:w="5357" w:type="dxa"/>
            <w:vAlign w:val="center"/>
          </w:tcPr>
          <w:p w:rsidR="00B338FE" w:rsidRDefault="00B11729">
            <w:pPr>
              <w:autoSpaceDE w:val="0"/>
              <w:autoSpaceDN w:val="0"/>
              <w:adjustRightInd w:val="0"/>
              <w:snapToGrid w:val="0"/>
              <w:rPr>
                <w:rFonts w:ascii="宋体" w:hAnsi="宋体" w:cs="宋体"/>
              </w:rPr>
            </w:pPr>
            <w:r>
              <w:rPr>
                <w:rFonts w:ascii="宋体" w:hAnsi="宋体" w:cs="宋体" w:hint="eastAsia"/>
              </w:rPr>
              <w:t>1、投标人通过质量管理体系认证得</w:t>
            </w:r>
            <w:r>
              <w:rPr>
                <w:rFonts w:ascii="宋体" w:hAnsi="宋体" w:cs="宋体"/>
              </w:rPr>
              <w:t>2</w:t>
            </w:r>
            <w:r>
              <w:rPr>
                <w:rFonts w:ascii="宋体" w:hAnsi="宋体" w:cs="宋体" w:hint="eastAsia"/>
              </w:rPr>
              <w:t>分，认证内容需包含环保信息系统集成、软件设计开发运营维护的相关管理内容，并提供相关证明材料；</w:t>
            </w:r>
          </w:p>
          <w:p w:rsidR="00B338FE" w:rsidRDefault="00B11729">
            <w:pPr>
              <w:autoSpaceDE w:val="0"/>
              <w:autoSpaceDN w:val="0"/>
              <w:adjustRightInd w:val="0"/>
              <w:snapToGrid w:val="0"/>
              <w:rPr>
                <w:rFonts w:ascii="宋体" w:hAnsi="宋体" w:cs="宋体"/>
              </w:rPr>
            </w:pPr>
            <w:r>
              <w:rPr>
                <w:rFonts w:ascii="宋体" w:hAnsi="宋体" w:cs="宋体" w:hint="eastAsia"/>
              </w:rPr>
              <w:t>2、投标人通过环境管理体系认证得</w:t>
            </w:r>
            <w:r>
              <w:rPr>
                <w:rFonts w:ascii="宋体" w:hAnsi="宋体" w:cs="宋体"/>
              </w:rPr>
              <w:t>2</w:t>
            </w:r>
            <w:r>
              <w:rPr>
                <w:rFonts w:ascii="宋体" w:hAnsi="宋体" w:cs="宋体" w:hint="eastAsia"/>
              </w:rPr>
              <w:t>分，认证内容需包含环保信息系统集成、软件设计开发运营维护的相关管理内容，并提供相关证明材料；</w:t>
            </w:r>
          </w:p>
          <w:p w:rsidR="00B338FE" w:rsidRDefault="00B11729">
            <w:pPr>
              <w:autoSpaceDE w:val="0"/>
              <w:autoSpaceDN w:val="0"/>
              <w:adjustRightInd w:val="0"/>
              <w:snapToGrid w:val="0"/>
              <w:rPr>
                <w:rFonts w:ascii="宋体" w:hAnsi="宋体" w:cs="宋体"/>
              </w:rPr>
            </w:pPr>
            <w:r>
              <w:rPr>
                <w:rFonts w:ascii="宋体" w:hAnsi="宋体" w:cs="宋体" w:hint="eastAsia"/>
              </w:rPr>
              <w:t>3、投标人通过职业健康管理体系认证得</w:t>
            </w:r>
            <w:r>
              <w:rPr>
                <w:rFonts w:ascii="宋体" w:hAnsi="宋体" w:cs="宋体"/>
              </w:rPr>
              <w:t>2</w:t>
            </w:r>
            <w:r>
              <w:rPr>
                <w:rFonts w:ascii="宋体" w:hAnsi="宋体" w:cs="宋体" w:hint="eastAsia"/>
              </w:rPr>
              <w:t>分，认证内容需包含环保信息系统集成、软件设计开发运营维护的相关管理内容，并提供相关证明材料；</w:t>
            </w:r>
          </w:p>
          <w:p w:rsidR="00B338FE" w:rsidRDefault="00B11729">
            <w:pPr>
              <w:autoSpaceDE w:val="0"/>
              <w:autoSpaceDN w:val="0"/>
              <w:adjustRightInd w:val="0"/>
              <w:snapToGrid w:val="0"/>
              <w:rPr>
                <w:rFonts w:ascii="宋体" w:hAnsi="宋体" w:cs="宋体"/>
              </w:rPr>
            </w:pPr>
            <w:r>
              <w:rPr>
                <w:rFonts w:ascii="宋体" w:hAnsi="宋体" w:cs="宋体" w:hint="eastAsia"/>
              </w:rPr>
              <w:t>4、投标人通过信息安全管理体系认证得</w:t>
            </w:r>
            <w:r>
              <w:rPr>
                <w:rFonts w:ascii="宋体" w:hAnsi="宋体" w:cs="宋体"/>
              </w:rPr>
              <w:t>2</w:t>
            </w:r>
            <w:r>
              <w:rPr>
                <w:rFonts w:ascii="宋体" w:hAnsi="宋体" w:cs="宋体" w:hint="eastAsia"/>
              </w:rPr>
              <w:t>分，认证内内容需包含向外部客户提供软硬件运行维护服务，并提供相关证明材料；</w:t>
            </w:r>
          </w:p>
          <w:p w:rsidR="00B338FE" w:rsidRDefault="00B11729">
            <w:pPr>
              <w:autoSpaceDE w:val="0"/>
              <w:autoSpaceDN w:val="0"/>
              <w:adjustRightInd w:val="0"/>
              <w:snapToGrid w:val="0"/>
              <w:rPr>
                <w:rFonts w:ascii="宋体" w:hAnsi="宋体" w:cs="宋体"/>
              </w:rPr>
            </w:pPr>
            <w:r>
              <w:rPr>
                <w:rFonts w:ascii="宋体" w:hAnsi="宋体" w:cs="宋体" w:hint="eastAsia"/>
              </w:rPr>
              <w:t>5、投标人通过信息技术服务管理体系认证得</w:t>
            </w:r>
            <w:r>
              <w:rPr>
                <w:rFonts w:ascii="宋体" w:hAnsi="宋体" w:cs="宋体"/>
              </w:rPr>
              <w:t>2</w:t>
            </w:r>
            <w:r>
              <w:rPr>
                <w:rFonts w:ascii="宋体" w:hAnsi="宋体" w:cs="宋体" w:hint="eastAsia"/>
              </w:rPr>
              <w:t>分，认证内内容需包含向外部客户提供软硬件运行维护服务，并提供相关证明材料；</w:t>
            </w:r>
          </w:p>
        </w:tc>
      </w:tr>
      <w:tr w:rsidR="00B338FE">
        <w:trPr>
          <w:trHeight w:val="693"/>
          <w:jc w:val="center"/>
        </w:trPr>
        <w:tc>
          <w:tcPr>
            <w:tcW w:w="524" w:type="dxa"/>
            <w:gridSpan w:val="2"/>
            <w:vMerge/>
            <w:vAlign w:val="center"/>
          </w:tcPr>
          <w:p w:rsidR="00B338FE" w:rsidRDefault="00B338FE">
            <w:pPr>
              <w:autoSpaceDE w:val="0"/>
              <w:autoSpaceDN w:val="0"/>
              <w:adjustRightInd w:val="0"/>
              <w:snapToGrid w:val="0"/>
              <w:jc w:val="center"/>
              <w:rPr>
                <w:rFonts w:ascii="宋体" w:hAnsi="宋体" w:cs="宋体"/>
              </w:rPr>
            </w:pPr>
          </w:p>
        </w:tc>
        <w:tc>
          <w:tcPr>
            <w:tcW w:w="709" w:type="dxa"/>
            <w:vMerge/>
            <w:vAlign w:val="center"/>
          </w:tcPr>
          <w:p w:rsidR="00B338FE" w:rsidRDefault="00B338FE">
            <w:pPr>
              <w:autoSpaceDE w:val="0"/>
              <w:autoSpaceDN w:val="0"/>
              <w:adjustRightInd w:val="0"/>
              <w:snapToGrid w:val="0"/>
              <w:jc w:val="center"/>
              <w:rPr>
                <w:rFonts w:ascii="宋体" w:hAnsi="宋体" w:cs="宋体"/>
              </w:rPr>
            </w:pPr>
          </w:p>
        </w:tc>
        <w:tc>
          <w:tcPr>
            <w:tcW w:w="1417" w:type="dxa"/>
            <w:vMerge w:val="restart"/>
            <w:vAlign w:val="center"/>
          </w:tcPr>
          <w:p w:rsidR="00B338FE" w:rsidRDefault="00B11729">
            <w:pPr>
              <w:autoSpaceDE w:val="0"/>
              <w:autoSpaceDN w:val="0"/>
              <w:adjustRightInd w:val="0"/>
              <w:snapToGrid w:val="0"/>
              <w:jc w:val="center"/>
              <w:rPr>
                <w:rFonts w:ascii="宋体" w:hAnsi="宋体" w:cs="宋体"/>
              </w:rPr>
            </w:pPr>
            <w:r>
              <w:rPr>
                <w:rFonts w:ascii="宋体" w:hAnsi="宋体" w:cs="宋体" w:hint="eastAsia"/>
              </w:rPr>
              <w:t>信用评价</w:t>
            </w:r>
          </w:p>
        </w:tc>
        <w:tc>
          <w:tcPr>
            <w:tcW w:w="851" w:type="dxa"/>
            <w:vMerge w:val="restart"/>
            <w:vAlign w:val="center"/>
          </w:tcPr>
          <w:p w:rsidR="00B338FE" w:rsidRDefault="009A1B56">
            <w:pPr>
              <w:autoSpaceDE w:val="0"/>
              <w:autoSpaceDN w:val="0"/>
              <w:adjustRightInd w:val="0"/>
              <w:snapToGrid w:val="0"/>
              <w:jc w:val="center"/>
              <w:rPr>
                <w:rFonts w:ascii="宋体" w:hAnsi="宋体" w:cs="宋体"/>
              </w:rPr>
            </w:pPr>
            <w:r>
              <w:rPr>
                <w:rFonts w:ascii="宋体" w:hAnsi="宋体" w:cs="宋体" w:hint="eastAsia"/>
              </w:rPr>
              <w:t>10</w:t>
            </w:r>
          </w:p>
        </w:tc>
        <w:tc>
          <w:tcPr>
            <w:tcW w:w="5357" w:type="dxa"/>
            <w:vAlign w:val="center"/>
          </w:tcPr>
          <w:p w:rsidR="00B338FE" w:rsidRDefault="00B11729" w:rsidP="009A1B56">
            <w:pPr>
              <w:autoSpaceDE w:val="0"/>
              <w:autoSpaceDN w:val="0"/>
              <w:adjustRightInd w:val="0"/>
              <w:snapToGrid w:val="0"/>
              <w:rPr>
                <w:rFonts w:ascii="宋体" w:hAnsi="宋体" w:cs="宋体"/>
              </w:rPr>
            </w:pPr>
            <w:r>
              <w:rPr>
                <w:rFonts w:ascii="宋体" w:hAnsi="宋体" w:cs="宋体" w:hint="eastAsia"/>
              </w:rPr>
              <w:t>投标人提供“重合同守信用企业认定证书” ，</w:t>
            </w:r>
            <w:r>
              <w:rPr>
                <w:rFonts w:ascii="宋体" w:hAnsi="宋体" w:cs="宋体"/>
              </w:rPr>
              <w:t>AAA级得</w:t>
            </w:r>
            <w:r w:rsidR="009A1B56">
              <w:rPr>
                <w:rFonts w:ascii="宋体" w:hAnsi="宋体" w:cs="宋体" w:hint="eastAsia"/>
              </w:rPr>
              <w:t>5</w:t>
            </w:r>
            <w:r>
              <w:rPr>
                <w:rFonts w:ascii="宋体" w:hAnsi="宋体" w:cs="宋体"/>
              </w:rPr>
              <w:t>分</w:t>
            </w:r>
            <w:r>
              <w:rPr>
                <w:rFonts w:ascii="宋体" w:hAnsi="宋体" w:cs="宋体" w:hint="eastAsia"/>
              </w:rPr>
              <w:t>，</w:t>
            </w:r>
            <w:r>
              <w:rPr>
                <w:rFonts w:ascii="宋体" w:hAnsi="宋体" w:cs="宋体"/>
              </w:rPr>
              <w:t>AA级得</w:t>
            </w:r>
            <w:r w:rsidR="009A1B56">
              <w:rPr>
                <w:rFonts w:ascii="宋体" w:hAnsi="宋体" w:cs="宋体" w:hint="eastAsia"/>
              </w:rPr>
              <w:t>3</w:t>
            </w:r>
            <w:r>
              <w:rPr>
                <w:rFonts w:ascii="宋体" w:hAnsi="宋体" w:cs="宋体"/>
              </w:rPr>
              <w:t>分，A</w:t>
            </w:r>
            <w:r>
              <w:rPr>
                <w:rFonts w:ascii="宋体" w:hAnsi="宋体" w:cs="宋体" w:hint="eastAsia"/>
              </w:rPr>
              <w:t>级得1分，不提供者不得分。</w:t>
            </w:r>
          </w:p>
        </w:tc>
      </w:tr>
      <w:tr w:rsidR="00B338FE">
        <w:trPr>
          <w:trHeight w:val="693"/>
          <w:jc w:val="center"/>
        </w:trPr>
        <w:tc>
          <w:tcPr>
            <w:tcW w:w="524" w:type="dxa"/>
            <w:gridSpan w:val="2"/>
            <w:vMerge/>
            <w:vAlign w:val="center"/>
          </w:tcPr>
          <w:p w:rsidR="00B338FE" w:rsidRDefault="00B338FE">
            <w:pPr>
              <w:autoSpaceDE w:val="0"/>
              <w:autoSpaceDN w:val="0"/>
              <w:adjustRightInd w:val="0"/>
              <w:snapToGrid w:val="0"/>
              <w:jc w:val="center"/>
              <w:rPr>
                <w:rFonts w:ascii="宋体" w:hAnsi="宋体" w:cs="宋体"/>
              </w:rPr>
            </w:pPr>
          </w:p>
        </w:tc>
        <w:tc>
          <w:tcPr>
            <w:tcW w:w="709" w:type="dxa"/>
            <w:vMerge/>
            <w:vAlign w:val="center"/>
          </w:tcPr>
          <w:p w:rsidR="00B338FE" w:rsidRDefault="00B338FE">
            <w:pPr>
              <w:autoSpaceDE w:val="0"/>
              <w:autoSpaceDN w:val="0"/>
              <w:adjustRightInd w:val="0"/>
              <w:snapToGrid w:val="0"/>
              <w:jc w:val="center"/>
              <w:rPr>
                <w:rFonts w:ascii="宋体" w:hAnsi="宋体" w:cs="宋体"/>
              </w:rPr>
            </w:pPr>
          </w:p>
        </w:tc>
        <w:tc>
          <w:tcPr>
            <w:tcW w:w="1417" w:type="dxa"/>
            <w:vMerge/>
            <w:tcBorders>
              <w:bottom w:val="single" w:sz="6" w:space="0" w:color="auto"/>
            </w:tcBorders>
            <w:vAlign w:val="center"/>
          </w:tcPr>
          <w:p w:rsidR="00B338FE" w:rsidRDefault="00B338FE">
            <w:pPr>
              <w:snapToGrid w:val="0"/>
              <w:spacing w:line="360" w:lineRule="auto"/>
              <w:jc w:val="center"/>
              <w:rPr>
                <w:rFonts w:ascii="宋体" w:hAnsi="宋体" w:cs="宋体"/>
              </w:rPr>
            </w:pPr>
          </w:p>
        </w:tc>
        <w:tc>
          <w:tcPr>
            <w:tcW w:w="851" w:type="dxa"/>
            <w:vMerge/>
            <w:tcBorders>
              <w:bottom w:val="single" w:sz="6" w:space="0" w:color="auto"/>
            </w:tcBorders>
            <w:vAlign w:val="center"/>
          </w:tcPr>
          <w:p w:rsidR="00B338FE" w:rsidRDefault="00B338FE">
            <w:pPr>
              <w:snapToGrid w:val="0"/>
              <w:spacing w:line="360" w:lineRule="auto"/>
              <w:jc w:val="center"/>
              <w:rPr>
                <w:rFonts w:ascii="宋体" w:hAnsi="宋体" w:cs="宋体"/>
              </w:rPr>
            </w:pPr>
          </w:p>
        </w:tc>
        <w:tc>
          <w:tcPr>
            <w:tcW w:w="5357" w:type="dxa"/>
            <w:tcBorders>
              <w:top w:val="single" w:sz="6" w:space="0" w:color="auto"/>
              <w:bottom w:val="single" w:sz="6" w:space="0" w:color="auto"/>
              <w:right w:val="single" w:sz="12" w:space="0" w:color="auto"/>
            </w:tcBorders>
            <w:vAlign w:val="center"/>
          </w:tcPr>
          <w:p w:rsidR="00B338FE" w:rsidRDefault="00B11729" w:rsidP="009A1B56">
            <w:pPr>
              <w:adjustRightInd w:val="0"/>
              <w:snapToGrid w:val="0"/>
              <w:jc w:val="left"/>
              <w:rPr>
                <w:rFonts w:ascii="宋体" w:hAnsi="宋体" w:cs="宋体"/>
              </w:rPr>
            </w:pPr>
            <w:r>
              <w:rPr>
                <w:rFonts w:ascii="宋体" w:hAnsi="宋体" w:cs="宋体" w:hint="eastAsia"/>
              </w:rPr>
              <w:t>提供环保产业的信用评估报告。信用等级为AAA级得</w:t>
            </w:r>
            <w:r w:rsidR="009A1B56">
              <w:rPr>
                <w:rFonts w:ascii="宋体" w:hAnsi="宋体" w:cs="宋体" w:hint="eastAsia"/>
              </w:rPr>
              <w:t>5</w:t>
            </w:r>
            <w:r>
              <w:rPr>
                <w:rFonts w:ascii="宋体" w:hAnsi="宋体" w:cs="宋体" w:hint="eastAsia"/>
              </w:rPr>
              <w:t>分，AA级得</w:t>
            </w:r>
            <w:r w:rsidR="009A1B56">
              <w:rPr>
                <w:rFonts w:ascii="宋体" w:hAnsi="宋体" w:cs="宋体" w:hint="eastAsia"/>
              </w:rPr>
              <w:t>3</w:t>
            </w:r>
            <w:r>
              <w:rPr>
                <w:rFonts w:ascii="宋体" w:hAnsi="宋体" w:cs="宋体" w:hint="eastAsia"/>
              </w:rPr>
              <w:t>分，</w:t>
            </w:r>
            <w:r>
              <w:rPr>
                <w:rFonts w:ascii="宋体" w:hAnsi="宋体" w:cs="宋体"/>
              </w:rPr>
              <w:t>A</w:t>
            </w:r>
            <w:r>
              <w:rPr>
                <w:rFonts w:ascii="宋体" w:hAnsi="宋体" w:cs="宋体" w:hint="eastAsia"/>
              </w:rPr>
              <w:t>级得1分，不提供者不得分。</w:t>
            </w:r>
          </w:p>
        </w:tc>
      </w:tr>
      <w:tr w:rsidR="00B338FE">
        <w:trPr>
          <w:trHeight w:val="693"/>
          <w:jc w:val="center"/>
        </w:trPr>
        <w:tc>
          <w:tcPr>
            <w:tcW w:w="524" w:type="dxa"/>
            <w:gridSpan w:val="2"/>
            <w:vMerge/>
            <w:vAlign w:val="center"/>
          </w:tcPr>
          <w:p w:rsidR="00B338FE" w:rsidRDefault="00B338FE">
            <w:pPr>
              <w:autoSpaceDE w:val="0"/>
              <w:autoSpaceDN w:val="0"/>
              <w:adjustRightInd w:val="0"/>
              <w:snapToGrid w:val="0"/>
              <w:jc w:val="center"/>
              <w:rPr>
                <w:rFonts w:ascii="宋体" w:hAnsi="宋体" w:cs="宋体"/>
              </w:rPr>
            </w:pPr>
          </w:p>
        </w:tc>
        <w:tc>
          <w:tcPr>
            <w:tcW w:w="709" w:type="dxa"/>
            <w:vMerge/>
            <w:vAlign w:val="center"/>
          </w:tcPr>
          <w:p w:rsidR="00B338FE" w:rsidRDefault="00B338FE">
            <w:pPr>
              <w:autoSpaceDE w:val="0"/>
              <w:autoSpaceDN w:val="0"/>
              <w:adjustRightInd w:val="0"/>
              <w:snapToGrid w:val="0"/>
              <w:jc w:val="center"/>
              <w:rPr>
                <w:rFonts w:ascii="宋体" w:hAnsi="宋体" w:cs="宋体"/>
              </w:rPr>
            </w:pPr>
          </w:p>
        </w:tc>
        <w:tc>
          <w:tcPr>
            <w:tcW w:w="1417"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hint="eastAsia"/>
              </w:rPr>
              <w:t>守法经营</w:t>
            </w:r>
          </w:p>
        </w:tc>
        <w:tc>
          <w:tcPr>
            <w:tcW w:w="851" w:type="dxa"/>
            <w:vAlign w:val="center"/>
          </w:tcPr>
          <w:p w:rsidR="00B338FE" w:rsidRDefault="009A1B56">
            <w:pPr>
              <w:autoSpaceDE w:val="0"/>
              <w:autoSpaceDN w:val="0"/>
              <w:adjustRightInd w:val="0"/>
              <w:snapToGrid w:val="0"/>
              <w:jc w:val="center"/>
              <w:rPr>
                <w:rFonts w:ascii="宋体" w:hAnsi="宋体" w:cs="宋体"/>
              </w:rPr>
            </w:pPr>
            <w:r>
              <w:rPr>
                <w:rFonts w:ascii="宋体" w:hAnsi="宋体" w:cs="宋体" w:hint="eastAsia"/>
              </w:rPr>
              <w:t>6</w:t>
            </w:r>
          </w:p>
        </w:tc>
        <w:tc>
          <w:tcPr>
            <w:tcW w:w="5357" w:type="dxa"/>
            <w:vAlign w:val="center"/>
          </w:tcPr>
          <w:p w:rsidR="00B338FE" w:rsidRDefault="00DA6ABC">
            <w:pPr>
              <w:autoSpaceDE w:val="0"/>
              <w:autoSpaceDN w:val="0"/>
              <w:adjustRightInd w:val="0"/>
              <w:snapToGrid w:val="0"/>
              <w:rPr>
                <w:rFonts w:ascii="宋体" w:hAnsi="宋体" w:cs="宋体"/>
              </w:rPr>
            </w:pPr>
            <w:r>
              <w:rPr>
                <w:rFonts w:ascii="宋体" w:hAnsi="宋体" w:cs="宋体" w:hint="eastAsia"/>
              </w:rPr>
              <w:t>投标</w:t>
            </w:r>
            <w:r w:rsidR="00B11729">
              <w:rPr>
                <w:rFonts w:ascii="宋体" w:hAnsi="宋体" w:cs="宋体" w:hint="eastAsia"/>
              </w:rPr>
              <w:t>人近5年来未</w:t>
            </w:r>
            <w:r>
              <w:rPr>
                <w:rFonts w:ascii="宋体" w:hAnsi="宋体" w:cs="宋体" w:hint="eastAsia"/>
              </w:rPr>
              <w:t>因</w:t>
            </w:r>
            <w:r w:rsidR="00491782">
              <w:rPr>
                <w:rFonts w:ascii="宋体" w:hAnsi="宋体" w:cs="宋体" w:hint="eastAsia"/>
              </w:rPr>
              <w:t>涉及</w:t>
            </w:r>
            <w:r>
              <w:rPr>
                <w:rFonts w:ascii="宋体" w:hAnsi="宋体" w:cs="宋体" w:hint="eastAsia"/>
              </w:rPr>
              <w:t>生态环境问题</w:t>
            </w:r>
            <w:r w:rsidR="00B11729">
              <w:rPr>
                <w:rFonts w:ascii="宋体" w:hAnsi="宋体" w:cs="宋体" w:hint="eastAsia"/>
              </w:rPr>
              <w:t>受到过各级</w:t>
            </w:r>
            <w:r>
              <w:rPr>
                <w:rFonts w:ascii="宋体" w:hAnsi="宋体" w:cs="宋体" w:hint="eastAsia"/>
              </w:rPr>
              <w:t>政府</w:t>
            </w:r>
            <w:r w:rsidR="00B11729">
              <w:rPr>
                <w:rFonts w:ascii="宋体" w:hAnsi="宋体" w:cs="宋体" w:hint="eastAsia"/>
              </w:rPr>
              <w:t>部门行政处罚的得</w:t>
            </w:r>
            <w:r w:rsidR="009A1B56">
              <w:rPr>
                <w:rFonts w:ascii="宋体" w:hAnsi="宋体" w:cs="宋体" w:hint="eastAsia"/>
              </w:rPr>
              <w:t>6</w:t>
            </w:r>
            <w:r w:rsidR="00B11729">
              <w:rPr>
                <w:rFonts w:ascii="宋体" w:hAnsi="宋体" w:cs="宋体" w:hint="eastAsia"/>
              </w:rPr>
              <w:t>分，需提供承诺函，以投标人提供的承诺函为准，不提供者者不得分，提供虚假承诺中标的，后期一经查实取消中标资格并保留追究法律责任的权利。</w:t>
            </w:r>
          </w:p>
          <w:p w:rsidR="00B338FE" w:rsidRDefault="00B11729">
            <w:pPr>
              <w:autoSpaceDE w:val="0"/>
              <w:autoSpaceDN w:val="0"/>
              <w:adjustRightInd w:val="0"/>
              <w:snapToGrid w:val="0"/>
              <w:rPr>
                <w:rFonts w:ascii="宋体" w:hAnsi="宋体" w:cs="宋体"/>
                <w:b/>
              </w:rPr>
            </w:pPr>
            <w:r>
              <w:rPr>
                <w:rFonts w:ascii="宋体" w:hAnsi="宋体" w:cs="宋体" w:hint="eastAsia"/>
                <w:b/>
              </w:rPr>
              <w:t>本次采购活动不接受有任何重大违法行为的潜在供应商。</w:t>
            </w:r>
          </w:p>
        </w:tc>
      </w:tr>
      <w:tr w:rsidR="00B338FE">
        <w:trPr>
          <w:trHeight w:val="933"/>
          <w:jc w:val="center"/>
        </w:trPr>
        <w:tc>
          <w:tcPr>
            <w:tcW w:w="524" w:type="dxa"/>
            <w:gridSpan w:val="2"/>
            <w:vMerge/>
            <w:vAlign w:val="center"/>
          </w:tcPr>
          <w:p w:rsidR="00B338FE" w:rsidRDefault="00B338FE">
            <w:pPr>
              <w:autoSpaceDE w:val="0"/>
              <w:autoSpaceDN w:val="0"/>
              <w:adjustRightInd w:val="0"/>
              <w:snapToGrid w:val="0"/>
              <w:jc w:val="center"/>
              <w:rPr>
                <w:rFonts w:ascii="宋体" w:hAnsi="宋体" w:cs="宋体"/>
              </w:rPr>
            </w:pPr>
          </w:p>
        </w:tc>
        <w:tc>
          <w:tcPr>
            <w:tcW w:w="709" w:type="dxa"/>
            <w:vMerge/>
            <w:vAlign w:val="center"/>
          </w:tcPr>
          <w:p w:rsidR="00B338FE" w:rsidRDefault="00B338FE">
            <w:pPr>
              <w:autoSpaceDE w:val="0"/>
              <w:autoSpaceDN w:val="0"/>
              <w:adjustRightInd w:val="0"/>
              <w:snapToGrid w:val="0"/>
              <w:jc w:val="center"/>
              <w:rPr>
                <w:rFonts w:ascii="宋体" w:hAnsi="宋体" w:cs="宋体"/>
              </w:rPr>
            </w:pPr>
          </w:p>
        </w:tc>
        <w:tc>
          <w:tcPr>
            <w:tcW w:w="1417"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hint="eastAsia"/>
              </w:rPr>
              <w:t>类似项目业绩</w:t>
            </w:r>
          </w:p>
        </w:tc>
        <w:tc>
          <w:tcPr>
            <w:tcW w:w="851"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10</w:t>
            </w:r>
          </w:p>
        </w:tc>
        <w:tc>
          <w:tcPr>
            <w:tcW w:w="5357" w:type="dxa"/>
            <w:vAlign w:val="center"/>
          </w:tcPr>
          <w:p w:rsidR="00B338FE" w:rsidRDefault="00B11729">
            <w:pPr>
              <w:autoSpaceDE w:val="0"/>
              <w:autoSpaceDN w:val="0"/>
              <w:adjustRightInd w:val="0"/>
              <w:snapToGrid w:val="0"/>
              <w:rPr>
                <w:rFonts w:ascii="宋体" w:hAnsi="宋体" w:cs="宋体"/>
              </w:rPr>
            </w:pPr>
            <w:r>
              <w:rPr>
                <w:rFonts w:ascii="宋体" w:hAnsi="宋体" w:cs="宋体" w:hint="eastAsia"/>
              </w:rPr>
              <w:t>投标人需提供2</w:t>
            </w:r>
            <w:r>
              <w:rPr>
                <w:rFonts w:ascii="宋体" w:hAnsi="宋体" w:cs="宋体"/>
              </w:rPr>
              <w:t>019</w:t>
            </w:r>
            <w:r>
              <w:rPr>
                <w:rFonts w:ascii="宋体" w:hAnsi="宋体" w:cs="宋体" w:hint="eastAsia"/>
              </w:rPr>
              <w:t>年1月以来的签订地表水运维合同的业绩，单个合同内站点数量不低于</w:t>
            </w:r>
            <w:r>
              <w:rPr>
                <w:rFonts w:ascii="宋体" w:hAnsi="宋体" w:cs="宋体"/>
              </w:rPr>
              <w:t>2</w:t>
            </w:r>
            <w:r>
              <w:rPr>
                <w:rFonts w:ascii="宋体" w:hAnsi="宋体" w:cs="宋体" w:hint="eastAsia"/>
              </w:rPr>
              <w:t>个、运维年限不低于1年的运维业绩。每提供一份合同得</w:t>
            </w:r>
            <w:r>
              <w:rPr>
                <w:rFonts w:ascii="宋体" w:hAnsi="宋体" w:cs="宋体"/>
              </w:rPr>
              <w:t>2</w:t>
            </w:r>
            <w:r>
              <w:rPr>
                <w:rFonts w:ascii="宋体" w:hAnsi="宋体" w:cs="宋体" w:hint="eastAsia"/>
              </w:rPr>
              <w:t>分，最多得</w:t>
            </w:r>
            <w:r>
              <w:rPr>
                <w:rFonts w:ascii="宋体" w:hAnsi="宋体" w:cs="宋体"/>
              </w:rPr>
              <w:t>10</w:t>
            </w:r>
            <w:r>
              <w:rPr>
                <w:rFonts w:ascii="宋体" w:hAnsi="宋体" w:cs="宋体" w:hint="eastAsia"/>
              </w:rPr>
              <w:t>分。注：需提供业绩清单。地表水水站系统运维项目中标通知书、合同关键页。</w:t>
            </w:r>
          </w:p>
        </w:tc>
      </w:tr>
      <w:tr w:rsidR="00B338FE">
        <w:trPr>
          <w:gridBefore w:val="1"/>
          <w:wBefore w:w="6" w:type="dxa"/>
          <w:trHeight w:val="128"/>
          <w:jc w:val="center"/>
        </w:trPr>
        <w:tc>
          <w:tcPr>
            <w:tcW w:w="8852" w:type="dxa"/>
            <w:gridSpan w:val="5"/>
            <w:vAlign w:val="center"/>
          </w:tcPr>
          <w:p w:rsidR="00B338FE" w:rsidRDefault="00B11729" w:rsidP="00434121">
            <w:pPr>
              <w:autoSpaceDE w:val="0"/>
              <w:autoSpaceDN w:val="0"/>
              <w:adjustRightInd w:val="0"/>
              <w:snapToGrid w:val="0"/>
              <w:jc w:val="center"/>
              <w:rPr>
                <w:rFonts w:ascii="宋体" w:hAnsi="宋体" w:cs="宋体"/>
              </w:rPr>
            </w:pPr>
            <w:r>
              <w:rPr>
                <w:rFonts w:ascii="宋体" w:hAnsi="宋体" w:cs="宋体" w:hint="eastAsia"/>
              </w:rPr>
              <w:t>三、技术部分（</w:t>
            </w:r>
            <w:r w:rsidR="00434121">
              <w:rPr>
                <w:rFonts w:ascii="宋体" w:hAnsi="宋体" w:cs="宋体" w:hint="eastAsia"/>
              </w:rPr>
              <w:t>39</w:t>
            </w:r>
            <w:r>
              <w:rPr>
                <w:rFonts w:ascii="宋体" w:hAnsi="宋体" w:cs="宋体" w:hint="eastAsia"/>
              </w:rPr>
              <w:t>分）</w:t>
            </w:r>
          </w:p>
        </w:tc>
      </w:tr>
      <w:tr w:rsidR="00B338FE">
        <w:trPr>
          <w:trHeight w:val="122"/>
          <w:jc w:val="center"/>
        </w:trPr>
        <w:tc>
          <w:tcPr>
            <w:tcW w:w="524" w:type="dxa"/>
            <w:gridSpan w:val="2"/>
            <w:vMerge w:val="restart"/>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3</w:t>
            </w:r>
          </w:p>
        </w:tc>
        <w:tc>
          <w:tcPr>
            <w:tcW w:w="709" w:type="dxa"/>
            <w:vMerge w:val="restart"/>
            <w:vAlign w:val="center"/>
          </w:tcPr>
          <w:p w:rsidR="00B338FE" w:rsidRDefault="00B11729">
            <w:pPr>
              <w:autoSpaceDE w:val="0"/>
              <w:autoSpaceDN w:val="0"/>
              <w:adjustRightInd w:val="0"/>
              <w:snapToGrid w:val="0"/>
              <w:jc w:val="center"/>
              <w:rPr>
                <w:rFonts w:ascii="宋体" w:hAnsi="宋体" w:cs="宋体"/>
              </w:rPr>
            </w:pPr>
            <w:r>
              <w:rPr>
                <w:rFonts w:ascii="宋体" w:hAnsi="宋体" w:cs="宋体" w:hint="eastAsia"/>
              </w:rPr>
              <w:t>技术评分</w:t>
            </w:r>
          </w:p>
        </w:tc>
        <w:tc>
          <w:tcPr>
            <w:tcW w:w="1417"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hint="eastAsia"/>
              </w:rPr>
              <w:t>为本项目配置的运维技术人员</w:t>
            </w:r>
          </w:p>
        </w:tc>
        <w:tc>
          <w:tcPr>
            <w:tcW w:w="851"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3</w:t>
            </w:r>
          </w:p>
        </w:tc>
        <w:tc>
          <w:tcPr>
            <w:tcW w:w="5357" w:type="dxa"/>
            <w:vAlign w:val="center"/>
          </w:tcPr>
          <w:p w:rsidR="00B338FE" w:rsidRDefault="00B11729">
            <w:pPr>
              <w:adjustRightInd w:val="0"/>
              <w:snapToGrid w:val="0"/>
              <w:rPr>
                <w:rFonts w:ascii="宋体" w:hAnsi="宋体"/>
              </w:rPr>
            </w:pPr>
            <w:r>
              <w:rPr>
                <w:rFonts w:ascii="宋体" w:hAnsi="宋体" w:hint="eastAsia"/>
              </w:rPr>
              <w:t>1、所提供运维队伍须为</w:t>
            </w:r>
            <w:r>
              <w:rPr>
                <w:rFonts w:ascii="宋体" w:hAnsi="宋体"/>
              </w:rPr>
              <w:t>1</w:t>
            </w:r>
            <w:r>
              <w:rPr>
                <w:rFonts w:ascii="宋体" w:hAnsi="宋体" w:hint="eastAsia"/>
              </w:rPr>
              <w:t>年以上水站运维经验的技术人员，并持证上岗，得</w:t>
            </w:r>
            <w:r>
              <w:rPr>
                <w:rFonts w:ascii="宋体" w:hAnsi="宋体"/>
              </w:rPr>
              <w:t>2</w:t>
            </w:r>
            <w:r>
              <w:rPr>
                <w:rFonts w:ascii="宋体" w:hAnsi="宋体" w:hint="eastAsia"/>
              </w:rPr>
              <w:t>分。</w:t>
            </w:r>
          </w:p>
          <w:p w:rsidR="00B338FE" w:rsidRDefault="00B11729" w:rsidP="006D4B20">
            <w:pPr>
              <w:adjustRightInd w:val="0"/>
              <w:snapToGrid w:val="0"/>
              <w:rPr>
                <w:rFonts w:ascii="宋体" w:hAnsi="宋体"/>
              </w:rPr>
            </w:pPr>
            <w:r>
              <w:rPr>
                <w:rFonts w:ascii="宋体" w:hAnsi="宋体" w:hint="eastAsia"/>
              </w:rPr>
              <w:t>2、所提供车辆须为投标人所有，并提供行驶证复印件，得</w:t>
            </w:r>
            <w:r>
              <w:rPr>
                <w:rFonts w:ascii="宋体" w:hAnsi="宋体"/>
              </w:rPr>
              <w:t>1</w:t>
            </w:r>
            <w:r>
              <w:rPr>
                <w:rFonts w:ascii="宋体" w:hAnsi="宋体" w:hint="eastAsia"/>
              </w:rPr>
              <w:t>分。（须提供技术人员的劳动合同和社保缴费记录等相关证明材料）</w:t>
            </w:r>
          </w:p>
        </w:tc>
      </w:tr>
      <w:tr w:rsidR="00B338FE">
        <w:trPr>
          <w:trHeight w:val="1057"/>
          <w:jc w:val="center"/>
        </w:trPr>
        <w:tc>
          <w:tcPr>
            <w:tcW w:w="524" w:type="dxa"/>
            <w:gridSpan w:val="2"/>
            <w:vMerge/>
            <w:vAlign w:val="center"/>
          </w:tcPr>
          <w:p w:rsidR="00B338FE" w:rsidRDefault="00B338FE">
            <w:pPr>
              <w:tabs>
                <w:tab w:val="left" w:pos="750"/>
              </w:tabs>
              <w:autoSpaceDE w:val="0"/>
              <w:autoSpaceDN w:val="0"/>
              <w:adjustRightInd w:val="0"/>
              <w:snapToGrid w:val="0"/>
              <w:jc w:val="center"/>
              <w:rPr>
                <w:rFonts w:ascii="宋体" w:hAnsi="宋体" w:cs="宋体"/>
              </w:rPr>
            </w:pPr>
          </w:p>
        </w:tc>
        <w:tc>
          <w:tcPr>
            <w:tcW w:w="709" w:type="dxa"/>
            <w:vMerge/>
            <w:vAlign w:val="center"/>
          </w:tcPr>
          <w:p w:rsidR="00B338FE" w:rsidRDefault="00B338FE">
            <w:pPr>
              <w:autoSpaceDE w:val="0"/>
              <w:autoSpaceDN w:val="0"/>
              <w:adjustRightInd w:val="0"/>
              <w:snapToGrid w:val="0"/>
              <w:jc w:val="center"/>
              <w:rPr>
                <w:rFonts w:ascii="宋体" w:hAnsi="宋体" w:cs="宋体"/>
              </w:rPr>
            </w:pPr>
          </w:p>
        </w:tc>
        <w:tc>
          <w:tcPr>
            <w:tcW w:w="1417"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hint="eastAsia"/>
              </w:rPr>
              <w:t>监测系统维护方案</w:t>
            </w:r>
          </w:p>
        </w:tc>
        <w:tc>
          <w:tcPr>
            <w:tcW w:w="851"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12</w:t>
            </w:r>
          </w:p>
        </w:tc>
        <w:tc>
          <w:tcPr>
            <w:tcW w:w="5357" w:type="dxa"/>
            <w:vAlign w:val="center"/>
          </w:tcPr>
          <w:p w:rsidR="00B338FE" w:rsidRDefault="00B11729">
            <w:pPr>
              <w:autoSpaceDE w:val="0"/>
              <w:autoSpaceDN w:val="0"/>
              <w:adjustRightInd w:val="0"/>
              <w:snapToGrid w:val="0"/>
              <w:rPr>
                <w:rFonts w:ascii="宋体" w:hAnsi="宋体" w:cs="宋体"/>
              </w:rPr>
            </w:pPr>
            <w:r>
              <w:rPr>
                <w:rFonts w:ascii="宋体" w:hAnsi="宋体" w:cs="宋体" w:hint="eastAsia"/>
              </w:rPr>
              <w:t>投标人针对本次招标水站的系统集成、每款仪器的运维方案可行性高、描述具体，能够针其实际特点提出有针对性的运维方案，得</w:t>
            </w:r>
            <w:r>
              <w:rPr>
                <w:rFonts w:ascii="宋体" w:hAnsi="宋体" w:cs="宋体"/>
              </w:rPr>
              <w:t>8</w:t>
            </w:r>
            <w:r>
              <w:rPr>
                <w:rFonts w:ascii="宋体" w:hAnsi="宋体" w:cs="宋体" w:hint="eastAsia"/>
              </w:rPr>
              <w:t>-</w:t>
            </w:r>
            <w:r>
              <w:rPr>
                <w:rFonts w:ascii="宋体" w:hAnsi="宋体" w:cs="宋体"/>
              </w:rPr>
              <w:t>12</w:t>
            </w:r>
            <w:r>
              <w:rPr>
                <w:rFonts w:ascii="宋体" w:hAnsi="宋体" w:cs="宋体" w:hint="eastAsia"/>
              </w:rPr>
              <w:t>分；可行性一般、仅能对其提出常规运维方案的一般的得</w:t>
            </w:r>
            <w:r>
              <w:rPr>
                <w:rFonts w:ascii="宋体" w:hAnsi="宋体" w:cs="宋体"/>
              </w:rPr>
              <w:t>4</w:t>
            </w:r>
            <w:r>
              <w:rPr>
                <w:rFonts w:ascii="宋体" w:hAnsi="宋体" w:cs="宋体" w:hint="eastAsia"/>
              </w:rPr>
              <w:t>-</w:t>
            </w:r>
            <w:r>
              <w:rPr>
                <w:rFonts w:ascii="宋体" w:hAnsi="宋体" w:cs="宋体"/>
              </w:rPr>
              <w:t>7</w:t>
            </w:r>
            <w:r>
              <w:rPr>
                <w:rFonts w:ascii="宋体" w:hAnsi="宋体" w:cs="宋体" w:hint="eastAsia"/>
              </w:rPr>
              <w:t>分，较差的得0-</w:t>
            </w:r>
            <w:r>
              <w:rPr>
                <w:rFonts w:ascii="宋体" w:hAnsi="宋体" w:cs="宋体"/>
              </w:rPr>
              <w:t>3</w:t>
            </w:r>
            <w:r>
              <w:rPr>
                <w:rFonts w:ascii="宋体" w:hAnsi="宋体" w:cs="宋体" w:hint="eastAsia"/>
              </w:rPr>
              <w:t>分。</w:t>
            </w:r>
          </w:p>
        </w:tc>
      </w:tr>
      <w:tr w:rsidR="00B338FE">
        <w:trPr>
          <w:trHeight w:val="1057"/>
          <w:jc w:val="center"/>
        </w:trPr>
        <w:tc>
          <w:tcPr>
            <w:tcW w:w="524" w:type="dxa"/>
            <w:gridSpan w:val="2"/>
            <w:vMerge/>
            <w:vAlign w:val="center"/>
          </w:tcPr>
          <w:p w:rsidR="00B338FE" w:rsidRDefault="00B338FE">
            <w:pPr>
              <w:tabs>
                <w:tab w:val="left" w:pos="750"/>
              </w:tabs>
              <w:autoSpaceDE w:val="0"/>
              <w:autoSpaceDN w:val="0"/>
              <w:adjustRightInd w:val="0"/>
              <w:snapToGrid w:val="0"/>
              <w:jc w:val="center"/>
              <w:rPr>
                <w:rFonts w:ascii="宋体" w:hAnsi="宋体" w:cs="宋体"/>
              </w:rPr>
            </w:pPr>
          </w:p>
        </w:tc>
        <w:tc>
          <w:tcPr>
            <w:tcW w:w="709" w:type="dxa"/>
            <w:vMerge/>
            <w:vAlign w:val="center"/>
          </w:tcPr>
          <w:p w:rsidR="00B338FE" w:rsidRDefault="00B338FE">
            <w:pPr>
              <w:autoSpaceDE w:val="0"/>
              <w:autoSpaceDN w:val="0"/>
              <w:adjustRightInd w:val="0"/>
              <w:snapToGrid w:val="0"/>
              <w:jc w:val="center"/>
              <w:rPr>
                <w:rFonts w:ascii="宋体" w:hAnsi="宋体" w:cs="宋体"/>
              </w:rPr>
            </w:pPr>
          </w:p>
        </w:tc>
        <w:tc>
          <w:tcPr>
            <w:tcW w:w="1417"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hint="eastAsia"/>
              </w:rPr>
              <w:t>质控系统维护方案</w:t>
            </w:r>
          </w:p>
        </w:tc>
        <w:tc>
          <w:tcPr>
            <w:tcW w:w="851"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12</w:t>
            </w:r>
          </w:p>
        </w:tc>
        <w:tc>
          <w:tcPr>
            <w:tcW w:w="5357" w:type="dxa"/>
            <w:vAlign w:val="center"/>
          </w:tcPr>
          <w:p w:rsidR="00B338FE" w:rsidRDefault="00B11729">
            <w:pPr>
              <w:autoSpaceDE w:val="0"/>
              <w:autoSpaceDN w:val="0"/>
              <w:adjustRightInd w:val="0"/>
              <w:snapToGrid w:val="0"/>
              <w:rPr>
                <w:rFonts w:ascii="宋体" w:hAnsi="宋体" w:cs="宋体"/>
              </w:rPr>
            </w:pPr>
            <w:r>
              <w:rPr>
                <w:rFonts w:ascii="宋体" w:hAnsi="宋体" w:cs="宋体" w:hint="eastAsia"/>
              </w:rPr>
              <w:t>投标人针对本次招标水站的质控系统运维方案可行性高、描述具体，能够针对其实际特点提出有针对性的运维方案，得8</w:t>
            </w:r>
            <w:r>
              <w:rPr>
                <w:rFonts w:ascii="宋体" w:hAnsi="宋体" w:cs="宋体"/>
              </w:rPr>
              <w:t>-12分；可行性一般、仅能对</w:t>
            </w:r>
            <w:r>
              <w:rPr>
                <w:rFonts w:ascii="宋体" w:hAnsi="宋体" w:cs="宋体" w:hint="eastAsia"/>
              </w:rPr>
              <w:t>其</w:t>
            </w:r>
            <w:r>
              <w:rPr>
                <w:rFonts w:ascii="宋体" w:hAnsi="宋体" w:cs="宋体"/>
              </w:rPr>
              <w:t>提出常规运维方案的一般的得</w:t>
            </w:r>
            <w:r>
              <w:rPr>
                <w:rFonts w:ascii="宋体" w:hAnsi="宋体" w:cs="宋体" w:hint="eastAsia"/>
              </w:rPr>
              <w:t>4</w:t>
            </w:r>
            <w:r>
              <w:rPr>
                <w:rFonts w:ascii="宋体" w:hAnsi="宋体" w:cs="宋体"/>
              </w:rPr>
              <w:t>-7分，较差的得</w:t>
            </w:r>
            <w:r>
              <w:rPr>
                <w:rFonts w:ascii="宋体" w:hAnsi="宋体" w:cs="宋体" w:hint="eastAsia"/>
              </w:rPr>
              <w:t>0</w:t>
            </w:r>
            <w:r>
              <w:rPr>
                <w:rFonts w:ascii="宋体" w:hAnsi="宋体" w:cs="宋体"/>
              </w:rPr>
              <w:t>-3分。</w:t>
            </w:r>
          </w:p>
        </w:tc>
      </w:tr>
      <w:tr w:rsidR="00B338FE">
        <w:trPr>
          <w:trHeight w:val="844"/>
          <w:jc w:val="center"/>
        </w:trPr>
        <w:tc>
          <w:tcPr>
            <w:tcW w:w="524" w:type="dxa"/>
            <w:gridSpan w:val="2"/>
            <w:vMerge/>
            <w:vAlign w:val="center"/>
          </w:tcPr>
          <w:p w:rsidR="00B338FE" w:rsidRDefault="00B338FE">
            <w:pPr>
              <w:tabs>
                <w:tab w:val="left" w:pos="750"/>
              </w:tabs>
              <w:autoSpaceDE w:val="0"/>
              <w:autoSpaceDN w:val="0"/>
              <w:adjustRightInd w:val="0"/>
              <w:snapToGrid w:val="0"/>
              <w:jc w:val="center"/>
              <w:rPr>
                <w:rFonts w:ascii="宋体" w:hAnsi="宋体" w:cs="宋体"/>
              </w:rPr>
            </w:pPr>
          </w:p>
        </w:tc>
        <w:tc>
          <w:tcPr>
            <w:tcW w:w="709" w:type="dxa"/>
            <w:vMerge/>
            <w:vAlign w:val="center"/>
          </w:tcPr>
          <w:p w:rsidR="00B338FE" w:rsidRDefault="00B338FE">
            <w:pPr>
              <w:autoSpaceDE w:val="0"/>
              <w:autoSpaceDN w:val="0"/>
              <w:adjustRightInd w:val="0"/>
              <w:snapToGrid w:val="0"/>
              <w:jc w:val="center"/>
              <w:rPr>
                <w:rFonts w:ascii="宋体" w:hAnsi="宋体" w:cs="宋体"/>
              </w:rPr>
            </w:pPr>
          </w:p>
        </w:tc>
        <w:tc>
          <w:tcPr>
            <w:tcW w:w="1417"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水质自动监测系统应急实施方案</w:t>
            </w:r>
          </w:p>
        </w:tc>
        <w:tc>
          <w:tcPr>
            <w:tcW w:w="851" w:type="dxa"/>
            <w:vAlign w:val="center"/>
          </w:tcPr>
          <w:p w:rsidR="00B338FE" w:rsidRDefault="00C85C58">
            <w:pPr>
              <w:autoSpaceDE w:val="0"/>
              <w:autoSpaceDN w:val="0"/>
              <w:adjustRightInd w:val="0"/>
              <w:snapToGrid w:val="0"/>
              <w:jc w:val="center"/>
              <w:rPr>
                <w:rFonts w:ascii="宋体" w:hAnsi="宋体" w:cs="宋体"/>
              </w:rPr>
            </w:pPr>
            <w:r>
              <w:rPr>
                <w:rFonts w:ascii="宋体" w:hAnsi="宋体" w:cs="宋体" w:hint="eastAsia"/>
              </w:rPr>
              <w:t>12</w:t>
            </w:r>
          </w:p>
        </w:tc>
        <w:tc>
          <w:tcPr>
            <w:tcW w:w="5357" w:type="dxa"/>
            <w:vAlign w:val="center"/>
          </w:tcPr>
          <w:p w:rsidR="00B338FE" w:rsidRDefault="00B11729" w:rsidP="00F7182B">
            <w:pPr>
              <w:autoSpaceDE w:val="0"/>
              <w:autoSpaceDN w:val="0"/>
              <w:adjustRightInd w:val="0"/>
              <w:snapToGrid w:val="0"/>
              <w:rPr>
                <w:rFonts w:ascii="宋体" w:hAnsi="宋体" w:cs="宋体"/>
              </w:rPr>
            </w:pPr>
            <w:r>
              <w:rPr>
                <w:rFonts w:ascii="宋体" w:hAnsi="宋体" w:cs="宋体"/>
              </w:rPr>
              <w:t>根据投标人提供针对河流断面发生的水质预警等情况，分级提出预防和响应措施等情况综合评审。好的得</w:t>
            </w:r>
            <w:r w:rsidR="00F7182B">
              <w:rPr>
                <w:rFonts w:ascii="宋体" w:hAnsi="宋体" w:cs="宋体" w:hint="eastAsia"/>
              </w:rPr>
              <w:t>8-12</w:t>
            </w:r>
            <w:r>
              <w:rPr>
                <w:rFonts w:ascii="宋体" w:hAnsi="宋体" w:cs="宋体"/>
              </w:rPr>
              <w:t>分，一般的得</w:t>
            </w:r>
            <w:r w:rsidR="00F7182B">
              <w:rPr>
                <w:rFonts w:ascii="宋体" w:hAnsi="宋体" w:cs="宋体" w:hint="eastAsia"/>
              </w:rPr>
              <w:t>4-7</w:t>
            </w:r>
            <w:r>
              <w:rPr>
                <w:rFonts w:ascii="宋体" w:hAnsi="宋体" w:cs="宋体"/>
              </w:rPr>
              <w:t>分，较差或未响应的得0</w:t>
            </w:r>
            <w:r w:rsidR="00F7182B">
              <w:rPr>
                <w:rFonts w:ascii="宋体" w:hAnsi="宋体" w:cs="宋体" w:hint="eastAsia"/>
              </w:rPr>
              <w:t>-3</w:t>
            </w:r>
            <w:r>
              <w:rPr>
                <w:rFonts w:ascii="宋体" w:hAnsi="宋体" w:cs="宋体"/>
              </w:rPr>
              <w:t>分。</w:t>
            </w:r>
          </w:p>
        </w:tc>
      </w:tr>
      <w:tr w:rsidR="00B338FE">
        <w:trPr>
          <w:trHeight w:val="844"/>
          <w:jc w:val="center"/>
        </w:trPr>
        <w:tc>
          <w:tcPr>
            <w:tcW w:w="8858" w:type="dxa"/>
            <w:gridSpan w:val="6"/>
            <w:vAlign w:val="center"/>
          </w:tcPr>
          <w:p w:rsidR="00B338FE" w:rsidRDefault="00B11729">
            <w:pPr>
              <w:autoSpaceDE w:val="0"/>
              <w:autoSpaceDN w:val="0"/>
              <w:adjustRightInd w:val="0"/>
              <w:snapToGrid w:val="0"/>
              <w:jc w:val="center"/>
              <w:rPr>
                <w:rFonts w:ascii="宋体" w:hAnsi="宋体" w:cs="宋体"/>
              </w:rPr>
            </w:pPr>
            <w:r>
              <w:rPr>
                <w:rFonts w:ascii="宋体" w:hAnsi="宋体" w:cs="宋体" w:hint="eastAsia"/>
              </w:rPr>
              <w:t>四、服务承诺部分（</w:t>
            </w:r>
            <w:r>
              <w:rPr>
                <w:rFonts w:ascii="宋体" w:hAnsi="宋体" w:cs="宋体"/>
              </w:rPr>
              <w:t>5分）</w:t>
            </w:r>
          </w:p>
        </w:tc>
      </w:tr>
      <w:tr w:rsidR="00B338FE">
        <w:trPr>
          <w:trHeight w:val="416"/>
          <w:jc w:val="center"/>
        </w:trPr>
        <w:tc>
          <w:tcPr>
            <w:tcW w:w="524" w:type="dxa"/>
            <w:gridSpan w:val="2"/>
            <w:vAlign w:val="center"/>
          </w:tcPr>
          <w:p w:rsidR="00B338FE" w:rsidRDefault="00B11729">
            <w:pPr>
              <w:adjustRightInd w:val="0"/>
              <w:snapToGrid w:val="0"/>
              <w:jc w:val="center"/>
              <w:rPr>
                <w:rFonts w:ascii="宋体" w:hAnsi="宋体" w:cs="宋体"/>
              </w:rPr>
            </w:pPr>
            <w:r>
              <w:rPr>
                <w:rFonts w:ascii="宋体" w:hAnsi="宋体" w:cs="宋体"/>
              </w:rPr>
              <w:t>4</w:t>
            </w:r>
          </w:p>
        </w:tc>
        <w:tc>
          <w:tcPr>
            <w:tcW w:w="709"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服务</w:t>
            </w:r>
            <w:r>
              <w:rPr>
                <w:rFonts w:ascii="宋体" w:hAnsi="宋体" w:cs="宋体" w:hint="eastAsia"/>
              </w:rPr>
              <w:t>评分</w:t>
            </w:r>
          </w:p>
        </w:tc>
        <w:tc>
          <w:tcPr>
            <w:tcW w:w="1417"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技术服务承诺情况</w:t>
            </w:r>
          </w:p>
        </w:tc>
        <w:tc>
          <w:tcPr>
            <w:tcW w:w="851" w:type="dxa"/>
            <w:vAlign w:val="center"/>
          </w:tcPr>
          <w:p w:rsidR="00B338FE" w:rsidRDefault="00B11729">
            <w:pPr>
              <w:autoSpaceDE w:val="0"/>
              <w:autoSpaceDN w:val="0"/>
              <w:adjustRightInd w:val="0"/>
              <w:snapToGrid w:val="0"/>
              <w:jc w:val="center"/>
              <w:rPr>
                <w:rFonts w:ascii="宋体" w:hAnsi="宋体" w:cs="宋体"/>
              </w:rPr>
            </w:pPr>
            <w:r>
              <w:rPr>
                <w:rFonts w:ascii="宋体" w:hAnsi="宋体" w:cs="宋体"/>
              </w:rPr>
              <w:t>5</w:t>
            </w:r>
          </w:p>
        </w:tc>
        <w:tc>
          <w:tcPr>
            <w:tcW w:w="5357" w:type="dxa"/>
            <w:vAlign w:val="center"/>
          </w:tcPr>
          <w:p w:rsidR="00B338FE" w:rsidRDefault="00B11729">
            <w:pPr>
              <w:autoSpaceDE w:val="0"/>
              <w:autoSpaceDN w:val="0"/>
              <w:adjustRightInd w:val="0"/>
              <w:snapToGrid w:val="0"/>
              <w:rPr>
                <w:rFonts w:ascii="宋体" w:hAnsi="宋体" w:cs="宋体"/>
              </w:rPr>
            </w:pPr>
            <w:r>
              <w:rPr>
                <w:rFonts w:ascii="宋体" w:hAnsi="宋体" w:cs="宋体"/>
              </w:rPr>
              <w:t>投标人对协助甲方做好水站固定资产管理等工作，做好水站日常监控，填写监控记录等承诺情况综合评审，承诺全面且利于项目进展的得3</w:t>
            </w:r>
            <w:r>
              <w:rPr>
                <w:rFonts w:ascii="宋体" w:hAnsi="宋体" w:cs="宋体" w:hint="eastAsia"/>
              </w:rPr>
              <w:t>-</w:t>
            </w:r>
            <w:r>
              <w:rPr>
                <w:rFonts w:ascii="宋体" w:hAnsi="宋体" w:cs="宋体"/>
              </w:rPr>
              <w:t>5分，一般的得1-2分，承诺</w:t>
            </w:r>
            <w:r>
              <w:rPr>
                <w:rFonts w:ascii="宋体" w:hAnsi="宋体" w:cs="宋体" w:hint="eastAsia"/>
              </w:rPr>
              <w:t>较差</w:t>
            </w:r>
            <w:r>
              <w:rPr>
                <w:rFonts w:ascii="宋体" w:hAnsi="宋体" w:cs="宋体"/>
              </w:rPr>
              <w:t>的得0分。</w:t>
            </w:r>
          </w:p>
        </w:tc>
      </w:tr>
    </w:tbl>
    <w:p w:rsidR="00B338FE" w:rsidRDefault="00B11729">
      <w:pPr>
        <w:autoSpaceDE w:val="0"/>
        <w:autoSpaceDN w:val="0"/>
        <w:adjustRightInd w:val="0"/>
        <w:snapToGrid w:val="0"/>
        <w:spacing w:beforeLines="50" w:before="156" w:line="300" w:lineRule="auto"/>
        <w:ind w:firstLineChars="200" w:firstLine="482"/>
        <w:jc w:val="left"/>
        <w:rPr>
          <w:b/>
          <w:bCs/>
          <w:color w:val="auto"/>
          <w:sz w:val="24"/>
          <w:szCs w:val="24"/>
        </w:rPr>
      </w:pPr>
      <w:r>
        <w:rPr>
          <w:rFonts w:cs="宋体" w:hint="eastAsia"/>
          <w:b/>
          <w:bCs/>
          <w:color w:val="auto"/>
          <w:sz w:val="24"/>
          <w:szCs w:val="24"/>
        </w:rPr>
        <w:t>注：以上打分细则中所需要的证件、证书、合同等证明资料，需提供扫描件附于投标文件中。</w:t>
      </w:r>
    </w:p>
    <w:sectPr w:rsidR="00B338FE">
      <w:pgSz w:w="11911" w:h="16838"/>
      <w:pgMar w:top="79" w:right="1440" w:bottom="0" w:left="1179"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5183" w:rsidRDefault="00035183">
      <w:pPr>
        <w:spacing w:line="240" w:lineRule="auto"/>
      </w:pPr>
      <w:r>
        <w:separator/>
      </w:r>
    </w:p>
  </w:endnote>
  <w:endnote w:type="continuationSeparator" w:id="0">
    <w:p w:rsidR="00035183" w:rsidRDefault="000351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MingLiU">
    <w:altName w:val="細明體"/>
    <w:panose1 w:val="02010609000101010101"/>
    <w:charset w:val="88"/>
    <w:family w:val="modern"/>
    <w:notTrueType/>
    <w:pitch w:val="fixed"/>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 w:name="CESI??-GB2312">
    <w:altName w:val="Segoe Print"/>
    <w:charset w:val="00"/>
    <w:family w:val="auto"/>
    <w:pitch w:val="default"/>
    <w:sig w:usb0="00000000" w:usb1="00000000" w:usb2="00000000" w:usb3="00000000" w:csb0="00000001" w:csb1="00000000"/>
  </w:font>
  <w:font w:name="方正黑体简体">
    <w:altName w:val="微软雅黑"/>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书宋_GBK">
    <w:altName w:val="微软雅黑"/>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6953738"/>
      <w:docPartObj>
        <w:docPartGallery w:val="Page Numbers (Bottom of Page)"/>
        <w:docPartUnique/>
      </w:docPartObj>
    </w:sdtPr>
    <w:sdtEndPr/>
    <w:sdtContent>
      <w:p w:rsidR="00310D8E" w:rsidRDefault="00310D8E">
        <w:pPr>
          <w:pStyle w:val="a9"/>
          <w:jc w:val="center"/>
        </w:pPr>
        <w:r>
          <w:fldChar w:fldCharType="begin"/>
        </w:r>
        <w:r>
          <w:instrText>PAGE   \* MERGEFORMAT</w:instrText>
        </w:r>
        <w:r>
          <w:fldChar w:fldCharType="separate"/>
        </w:r>
        <w:r w:rsidR="00702DCA" w:rsidRPr="00702DCA">
          <w:rPr>
            <w:noProof/>
            <w:lang w:val="zh-CN"/>
          </w:rPr>
          <w:t>20</w:t>
        </w:r>
        <w:r>
          <w:fldChar w:fldCharType="end"/>
        </w:r>
      </w:p>
    </w:sdtContent>
  </w:sdt>
  <w:p w:rsidR="00B338FE" w:rsidRDefault="00B338FE">
    <w:pPr>
      <w:widowControl w:val="0"/>
      <w:snapToGrid w:val="0"/>
      <w:spacing w:line="240" w:lineRule="atLeast"/>
      <w:ind w:right="21" w:firstLineChars="50" w:firstLine="105"/>
      <w:jc w:val="left"/>
      <w:rPr>
        <w:rFonts w:ascii="宋体"/>
        <w:u w:val="singl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38FE" w:rsidRDefault="00B338FE">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5183" w:rsidRDefault="00035183">
      <w:pPr>
        <w:spacing w:line="240" w:lineRule="auto"/>
      </w:pPr>
      <w:r>
        <w:separator/>
      </w:r>
    </w:p>
  </w:footnote>
  <w:footnote w:type="continuationSeparator" w:id="0">
    <w:p w:rsidR="00035183" w:rsidRDefault="0003518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38FE" w:rsidRDefault="00B11729">
    <w:pPr>
      <w:widowControl w:val="0"/>
      <w:snapToGrid w:val="0"/>
      <w:spacing w:line="240" w:lineRule="atLeast"/>
      <w:rPr>
        <w:rFonts w:ascii="宋体"/>
      </w:rPr>
    </w:pPr>
    <w:r>
      <w:rPr>
        <w:noProof/>
      </w:rPr>
      <mc:AlternateContent>
        <mc:Choice Requires="wps">
          <w:drawing>
            <wp:anchor distT="0" distB="0" distL="114300" distR="114300" simplePos="0" relativeHeight="251659264" behindDoc="1" locked="0" layoutInCell="0" allowOverlap="1">
              <wp:simplePos x="0" y="0"/>
              <wp:positionH relativeFrom="page">
                <wp:posOffset>899795</wp:posOffset>
              </wp:positionH>
              <wp:positionV relativeFrom="page">
                <wp:posOffset>359410</wp:posOffset>
              </wp:positionV>
              <wp:extent cx="5759450" cy="179705"/>
              <wp:effectExtent l="4445" t="0" r="0" b="3810"/>
              <wp:wrapNone/>
              <wp:docPr id="6" name="Text Box 1"/>
              <wp:cNvGraphicFramePr/>
              <a:graphic xmlns:a="http://schemas.openxmlformats.org/drawingml/2006/main">
                <a:graphicData uri="http://schemas.microsoft.com/office/word/2010/wordprocessingShape">
                  <wps:wsp>
                    <wps:cNvSpPr txBox="1"/>
                    <wps:spPr bwMode="auto">
                      <a:xfrm>
                        <a:off x="0" y="0"/>
                        <a:ext cx="5759450" cy="179705"/>
                      </a:xfrm>
                      <a:prstGeom prst="rect">
                        <a:avLst/>
                      </a:prstGeom>
                      <a:noFill/>
                      <a:ln>
                        <a:noFill/>
                      </a:ln>
                    </wps:spPr>
                    <wps:bodyPr rot="0" vert="horz" wrap="square" lIns="91440" tIns="45720" rIns="91440" bIns="45720" anchor="t" anchorCtr="0" upright="1">
                      <a:noAutofit/>
                    </wps:bodyPr>
                  </wps:wsp>
                </a:graphicData>
              </a:graphic>
            </wp:anchor>
          </w:drawing>
        </mc:Choice>
        <mc:Fallback xmlns:w15="http://schemas.microsoft.com/office/word/2012/wordml" xmlns:wpsCustomData="http://www.wps.cn/officeDocument/2013/wpsCustomData">
          <w:pict>
            <v:shape id="Text Box 1" o:spid="_x0000_s1026" o:spt="202" type="#_x0000_t202" style="position:absolute;left:0pt;margin-left:70.85pt;margin-top:28.3pt;height:14.15pt;width:453.5pt;mso-position-horizontal-relative:page;mso-position-vertical-relative:page;z-index:-251657216;mso-width-relative:page;mso-height-relative:page;" filled="f" stroked="f" coordsize="21600,21600" o:allowincell="f" o:gfxdata="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a6C34tcA&#10;AAAKAQAADwAAAAAAAAABACAAAAAiAAAAZHJzL2Rvd25yZXYueG1sUEsBAhQAFAAAAAgAh07iQCmc&#10;i+rnAQAA2QMAAA4AAAAAAAAAAQAgAAAAJgEAAGRycy9lMm9Eb2MueG1sUEsFBgAAAAAGAAYAWQEA&#10;AH8FAAAAAA==&#10;">
              <v:fill on="f" focussize="0,0"/>
              <v:stroke on="f"/>
              <v:imagedata o:title=""/>
              <o:lock v:ext="edit" aspectratio="f"/>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311E25"/>
    <w:multiLevelType w:val="singleLevel"/>
    <w:tmpl w:val="60311E25"/>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1YWY1YjBhOWE4NzIwNjlkZTRkZGI1MzcwMDdkNTQifQ=="/>
  </w:docVars>
  <w:rsids>
    <w:rsidRoot w:val="00172A27"/>
    <w:rsid w:val="DBC84CD0"/>
    <w:rsid w:val="DF9F4C5F"/>
    <w:rsid w:val="FF630F02"/>
    <w:rsid w:val="00001D7A"/>
    <w:rsid w:val="00002B87"/>
    <w:rsid w:val="000042FC"/>
    <w:rsid w:val="00006184"/>
    <w:rsid w:val="000118FF"/>
    <w:rsid w:val="00011F9D"/>
    <w:rsid w:val="000129C4"/>
    <w:rsid w:val="00013814"/>
    <w:rsid w:val="00013DB2"/>
    <w:rsid w:val="00014FA0"/>
    <w:rsid w:val="00015C36"/>
    <w:rsid w:val="00015CE3"/>
    <w:rsid w:val="00016334"/>
    <w:rsid w:val="00017560"/>
    <w:rsid w:val="0001783F"/>
    <w:rsid w:val="00017E1E"/>
    <w:rsid w:val="00020336"/>
    <w:rsid w:val="00023676"/>
    <w:rsid w:val="00024608"/>
    <w:rsid w:val="00025438"/>
    <w:rsid w:val="00025F1E"/>
    <w:rsid w:val="0002701F"/>
    <w:rsid w:val="0002737B"/>
    <w:rsid w:val="00031016"/>
    <w:rsid w:val="0003123D"/>
    <w:rsid w:val="0003321D"/>
    <w:rsid w:val="000339BC"/>
    <w:rsid w:val="00035183"/>
    <w:rsid w:val="0003567F"/>
    <w:rsid w:val="00036AA4"/>
    <w:rsid w:val="000372BB"/>
    <w:rsid w:val="00037A5A"/>
    <w:rsid w:val="00041891"/>
    <w:rsid w:val="0004237C"/>
    <w:rsid w:val="00042CA8"/>
    <w:rsid w:val="00042F27"/>
    <w:rsid w:val="000437D6"/>
    <w:rsid w:val="00043821"/>
    <w:rsid w:val="00043CBA"/>
    <w:rsid w:val="00043D90"/>
    <w:rsid w:val="000441FD"/>
    <w:rsid w:val="00045899"/>
    <w:rsid w:val="000458E7"/>
    <w:rsid w:val="00050832"/>
    <w:rsid w:val="000510E6"/>
    <w:rsid w:val="00052D79"/>
    <w:rsid w:val="00056986"/>
    <w:rsid w:val="00056C7E"/>
    <w:rsid w:val="00057BA0"/>
    <w:rsid w:val="00057F78"/>
    <w:rsid w:val="0006134B"/>
    <w:rsid w:val="000622B5"/>
    <w:rsid w:val="00062784"/>
    <w:rsid w:val="00062821"/>
    <w:rsid w:val="000628AC"/>
    <w:rsid w:val="00065301"/>
    <w:rsid w:val="0006670F"/>
    <w:rsid w:val="00070DCC"/>
    <w:rsid w:val="00071C34"/>
    <w:rsid w:val="00072834"/>
    <w:rsid w:val="000732AB"/>
    <w:rsid w:val="0007358E"/>
    <w:rsid w:val="0007390E"/>
    <w:rsid w:val="00073A45"/>
    <w:rsid w:val="00074985"/>
    <w:rsid w:val="00077629"/>
    <w:rsid w:val="00080AE9"/>
    <w:rsid w:val="00081801"/>
    <w:rsid w:val="00081C6C"/>
    <w:rsid w:val="000823AD"/>
    <w:rsid w:val="0008258F"/>
    <w:rsid w:val="000829A8"/>
    <w:rsid w:val="000829DB"/>
    <w:rsid w:val="00083869"/>
    <w:rsid w:val="00083B98"/>
    <w:rsid w:val="00084C56"/>
    <w:rsid w:val="00085435"/>
    <w:rsid w:val="00086B70"/>
    <w:rsid w:val="000906F2"/>
    <w:rsid w:val="00090D6B"/>
    <w:rsid w:val="00090EB6"/>
    <w:rsid w:val="0009112A"/>
    <w:rsid w:val="00091C5E"/>
    <w:rsid w:val="0009268E"/>
    <w:rsid w:val="000929AC"/>
    <w:rsid w:val="0009302D"/>
    <w:rsid w:val="00093A6B"/>
    <w:rsid w:val="00094299"/>
    <w:rsid w:val="000956CE"/>
    <w:rsid w:val="000962DF"/>
    <w:rsid w:val="000966E2"/>
    <w:rsid w:val="000A1EF0"/>
    <w:rsid w:val="000A2F4F"/>
    <w:rsid w:val="000A3FE8"/>
    <w:rsid w:val="000A4640"/>
    <w:rsid w:val="000A55EE"/>
    <w:rsid w:val="000A61F5"/>
    <w:rsid w:val="000A688B"/>
    <w:rsid w:val="000A7A3C"/>
    <w:rsid w:val="000A7B72"/>
    <w:rsid w:val="000B1334"/>
    <w:rsid w:val="000B2559"/>
    <w:rsid w:val="000B3DD8"/>
    <w:rsid w:val="000B4758"/>
    <w:rsid w:val="000B535A"/>
    <w:rsid w:val="000B5412"/>
    <w:rsid w:val="000B6571"/>
    <w:rsid w:val="000C0072"/>
    <w:rsid w:val="000C0358"/>
    <w:rsid w:val="000C17C5"/>
    <w:rsid w:val="000C2AA6"/>
    <w:rsid w:val="000C418B"/>
    <w:rsid w:val="000C5E57"/>
    <w:rsid w:val="000C6578"/>
    <w:rsid w:val="000D128B"/>
    <w:rsid w:val="000D1898"/>
    <w:rsid w:val="000D2631"/>
    <w:rsid w:val="000D29E1"/>
    <w:rsid w:val="000E02FC"/>
    <w:rsid w:val="000E07C6"/>
    <w:rsid w:val="000E0FFC"/>
    <w:rsid w:val="000E127A"/>
    <w:rsid w:val="000E41D5"/>
    <w:rsid w:val="000E54A0"/>
    <w:rsid w:val="000E6E96"/>
    <w:rsid w:val="000E70D4"/>
    <w:rsid w:val="000F0906"/>
    <w:rsid w:val="000F108C"/>
    <w:rsid w:val="000F3188"/>
    <w:rsid w:val="000F3282"/>
    <w:rsid w:val="000F3D46"/>
    <w:rsid w:val="000F3E7E"/>
    <w:rsid w:val="000F4146"/>
    <w:rsid w:val="000F4C91"/>
    <w:rsid w:val="000F71A3"/>
    <w:rsid w:val="000F756B"/>
    <w:rsid w:val="000F7917"/>
    <w:rsid w:val="000F79CB"/>
    <w:rsid w:val="000F7BE8"/>
    <w:rsid w:val="0010005D"/>
    <w:rsid w:val="00101CE3"/>
    <w:rsid w:val="00103B89"/>
    <w:rsid w:val="001056D3"/>
    <w:rsid w:val="001073C9"/>
    <w:rsid w:val="00107435"/>
    <w:rsid w:val="00110434"/>
    <w:rsid w:val="00110916"/>
    <w:rsid w:val="00111476"/>
    <w:rsid w:val="001118D4"/>
    <w:rsid w:val="00113D0A"/>
    <w:rsid w:val="00115075"/>
    <w:rsid w:val="001163D8"/>
    <w:rsid w:val="0011652C"/>
    <w:rsid w:val="00117724"/>
    <w:rsid w:val="00120466"/>
    <w:rsid w:val="00123128"/>
    <w:rsid w:val="00124C33"/>
    <w:rsid w:val="00124FA8"/>
    <w:rsid w:val="0012536B"/>
    <w:rsid w:val="00126132"/>
    <w:rsid w:val="00126CF1"/>
    <w:rsid w:val="00130453"/>
    <w:rsid w:val="00131B13"/>
    <w:rsid w:val="00131CCB"/>
    <w:rsid w:val="00132364"/>
    <w:rsid w:val="001331D2"/>
    <w:rsid w:val="001342A5"/>
    <w:rsid w:val="00134F57"/>
    <w:rsid w:val="00135227"/>
    <w:rsid w:val="001364C3"/>
    <w:rsid w:val="001373F3"/>
    <w:rsid w:val="001376B5"/>
    <w:rsid w:val="001378C9"/>
    <w:rsid w:val="001401E4"/>
    <w:rsid w:val="001403FB"/>
    <w:rsid w:val="001409F2"/>
    <w:rsid w:val="00141452"/>
    <w:rsid w:val="00144530"/>
    <w:rsid w:val="00146773"/>
    <w:rsid w:val="001531BA"/>
    <w:rsid w:val="001531FB"/>
    <w:rsid w:val="001532B2"/>
    <w:rsid w:val="001537D5"/>
    <w:rsid w:val="0015450A"/>
    <w:rsid w:val="00156425"/>
    <w:rsid w:val="0015691C"/>
    <w:rsid w:val="00157A88"/>
    <w:rsid w:val="00157D28"/>
    <w:rsid w:val="001605C5"/>
    <w:rsid w:val="0016152A"/>
    <w:rsid w:val="00161EAD"/>
    <w:rsid w:val="00166938"/>
    <w:rsid w:val="0016693E"/>
    <w:rsid w:val="00167109"/>
    <w:rsid w:val="0016783C"/>
    <w:rsid w:val="001708C3"/>
    <w:rsid w:val="00170AE1"/>
    <w:rsid w:val="0017175B"/>
    <w:rsid w:val="0017176A"/>
    <w:rsid w:val="001717B5"/>
    <w:rsid w:val="001719D7"/>
    <w:rsid w:val="00172A27"/>
    <w:rsid w:val="00172A7E"/>
    <w:rsid w:val="00175E3A"/>
    <w:rsid w:val="00182CA9"/>
    <w:rsid w:val="00183ABB"/>
    <w:rsid w:val="00186884"/>
    <w:rsid w:val="00186DFE"/>
    <w:rsid w:val="00187C84"/>
    <w:rsid w:val="0019156E"/>
    <w:rsid w:val="001918A1"/>
    <w:rsid w:val="00192E2C"/>
    <w:rsid w:val="00194451"/>
    <w:rsid w:val="00195977"/>
    <w:rsid w:val="001965DC"/>
    <w:rsid w:val="0019697C"/>
    <w:rsid w:val="00196E5D"/>
    <w:rsid w:val="00197015"/>
    <w:rsid w:val="001977A1"/>
    <w:rsid w:val="001A02B0"/>
    <w:rsid w:val="001A1BB5"/>
    <w:rsid w:val="001A1D5B"/>
    <w:rsid w:val="001A1EE2"/>
    <w:rsid w:val="001A2564"/>
    <w:rsid w:val="001A46D0"/>
    <w:rsid w:val="001A5D00"/>
    <w:rsid w:val="001A733E"/>
    <w:rsid w:val="001A7A25"/>
    <w:rsid w:val="001B3387"/>
    <w:rsid w:val="001B353D"/>
    <w:rsid w:val="001B4202"/>
    <w:rsid w:val="001B5626"/>
    <w:rsid w:val="001B598B"/>
    <w:rsid w:val="001B6072"/>
    <w:rsid w:val="001B7085"/>
    <w:rsid w:val="001B7B35"/>
    <w:rsid w:val="001C015C"/>
    <w:rsid w:val="001C050D"/>
    <w:rsid w:val="001C219F"/>
    <w:rsid w:val="001C2389"/>
    <w:rsid w:val="001C2D34"/>
    <w:rsid w:val="001C397C"/>
    <w:rsid w:val="001C4B92"/>
    <w:rsid w:val="001C56BF"/>
    <w:rsid w:val="001C572D"/>
    <w:rsid w:val="001C6195"/>
    <w:rsid w:val="001C6505"/>
    <w:rsid w:val="001C66A3"/>
    <w:rsid w:val="001C6FC8"/>
    <w:rsid w:val="001D14A1"/>
    <w:rsid w:val="001D17A7"/>
    <w:rsid w:val="001D292F"/>
    <w:rsid w:val="001D2CF7"/>
    <w:rsid w:val="001D2F63"/>
    <w:rsid w:val="001D3921"/>
    <w:rsid w:val="001D3B0B"/>
    <w:rsid w:val="001D6772"/>
    <w:rsid w:val="001D6C63"/>
    <w:rsid w:val="001D742A"/>
    <w:rsid w:val="001D79E1"/>
    <w:rsid w:val="001D7FC1"/>
    <w:rsid w:val="001E04F2"/>
    <w:rsid w:val="001E0A3F"/>
    <w:rsid w:val="001E1A46"/>
    <w:rsid w:val="001E25BA"/>
    <w:rsid w:val="001E25FA"/>
    <w:rsid w:val="001E2ED6"/>
    <w:rsid w:val="001E30AE"/>
    <w:rsid w:val="001E364B"/>
    <w:rsid w:val="001E45BE"/>
    <w:rsid w:val="001E5C93"/>
    <w:rsid w:val="001F6921"/>
    <w:rsid w:val="001F7D39"/>
    <w:rsid w:val="001F7ECB"/>
    <w:rsid w:val="0020197C"/>
    <w:rsid w:val="00202D93"/>
    <w:rsid w:val="00202E2A"/>
    <w:rsid w:val="00203933"/>
    <w:rsid w:val="00204C09"/>
    <w:rsid w:val="00205148"/>
    <w:rsid w:val="002052BF"/>
    <w:rsid w:val="0020536F"/>
    <w:rsid w:val="002053E8"/>
    <w:rsid w:val="00205670"/>
    <w:rsid w:val="00205DC9"/>
    <w:rsid w:val="0020635B"/>
    <w:rsid w:val="002064E1"/>
    <w:rsid w:val="00206529"/>
    <w:rsid w:val="00207968"/>
    <w:rsid w:val="00207B50"/>
    <w:rsid w:val="00212022"/>
    <w:rsid w:val="00214228"/>
    <w:rsid w:val="0021493D"/>
    <w:rsid w:val="00214DD7"/>
    <w:rsid w:val="00214F54"/>
    <w:rsid w:val="002155C5"/>
    <w:rsid w:val="0021708F"/>
    <w:rsid w:val="002228C6"/>
    <w:rsid w:val="002238AE"/>
    <w:rsid w:val="002238BD"/>
    <w:rsid w:val="002247B5"/>
    <w:rsid w:val="0022623B"/>
    <w:rsid w:val="0022680B"/>
    <w:rsid w:val="0023012A"/>
    <w:rsid w:val="00231D21"/>
    <w:rsid w:val="0023225F"/>
    <w:rsid w:val="0023255F"/>
    <w:rsid w:val="002331B7"/>
    <w:rsid w:val="00233DF8"/>
    <w:rsid w:val="00235797"/>
    <w:rsid w:val="0023589D"/>
    <w:rsid w:val="00235F2B"/>
    <w:rsid w:val="00236EE2"/>
    <w:rsid w:val="00237A15"/>
    <w:rsid w:val="00240733"/>
    <w:rsid w:val="00241D3A"/>
    <w:rsid w:val="002422EA"/>
    <w:rsid w:val="002423AD"/>
    <w:rsid w:val="0024269B"/>
    <w:rsid w:val="0024423D"/>
    <w:rsid w:val="00244532"/>
    <w:rsid w:val="00244845"/>
    <w:rsid w:val="00244B40"/>
    <w:rsid w:val="00246A36"/>
    <w:rsid w:val="00247523"/>
    <w:rsid w:val="002475F4"/>
    <w:rsid w:val="00247993"/>
    <w:rsid w:val="00247F59"/>
    <w:rsid w:val="0025043E"/>
    <w:rsid w:val="00250D5C"/>
    <w:rsid w:val="00252438"/>
    <w:rsid w:val="00253446"/>
    <w:rsid w:val="00254149"/>
    <w:rsid w:val="00254F6E"/>
    <w:rsid w:val="00255939"/>
    <w:rsid w:val="00255F05"/>
    <w:rsid w:val="0025656F"/>
    <w:rsid w:val="002574D7"/>
    <w:rsid w:val="00257B22"/>
    <w:rsid w:val="00260E74"/>
    <w:rsid w:val="002613D7"/>
    <w:rsid w:val="002665E4"/>
    <w:rsid w:val="002673AF"/>
    <w:rsid w:val="00270437"/>
    <w:rsid w:val="0027067C"/>
    <w:rsid w:val="002708B6"/>
    <w:rsid w:val="00270D09"/>
    <w:rsid w:val="00270FE1"/>
    <w:rsid w:val="00271ABB"/>
    <w:rsid w:val="00272187"/>
    <w:rsid w:val="0027281A"/>
    <w:rsid w:val="00272DEC"/>
    <w:rsid w:val="002759A2"/>
    <w:rsid w:val="00275E53"/>
    <w:rsid w:val="00276204"/>
    <w:rsid w:val="00276C58"/>
    <w:rsid w:val="00277628"/>
    <w:rsid w:val="00280E45"/>
    <w:rsid w:val="002810F8"/>
    <w:rsid w:val="00282504"/>
    <w:rsid w:val="00283767"/>
    <w:rsid w:val="002901A4"/>
    <w:rsid w:val="00290ACC"/>
    <w:rsid w:val="00290D50"/>
    <w:rsid w:val="00291105"/>
    <w:rsid w:val="00293050"/>
    <w:rsid w:val="002936B7"/>
    <w:rsid w:val="0029442F"/>
    <w:rsid w:val="0029595B"/>
    <w:rsid w:val="00295A34"/>
    <w:rsid w:val="00296501"/>
    <w:rsid w:val="00297034"/>
    <w:rsid w:val="002975BF"/>
    <w:rsid w:val="0029799B"/>
    <w:rsid w:val="002A0906"/>
    <w:rsid w:val="002A1CD2"/>
    <w:rsid w:val="002A2127"/>
    <w:rsid w:val="002A2B5C"/>
    <w:rsid w:val="002A2B93"/>
    <w:rsid w:val="002A4898"/>
    <w:rsid w:val="002A4F6F"/>
    <w:rsid w:val="002A5411"/>
    <w:rsid w:val="002A6206"/>
    <w:rsid w:val="002A6ED3"/>
    <w:rsid w:val="002B01D6"/>
    <w:rsid w:val="002B2CE9"/>
    <w:rsid w:val="002B2F3A"/>
    <w:rsid w:val="002B5E0D"/>
    <w:rsid w:val="002B6471"/>
    <w:rsid w:val="002B7A62"/>
    <w:rsid w:val="002C00FF"/>
    <w:rsid w:val="002C13E8"/>
    <w:rsid w:val="002C3D91"/>
    <w:rsid w:val="002C3EB6"/>
    <w:rsid w:val="002C4340"/>
    <w:rsid w:val="002C4F66"/>
    <w:rsid w:val="002C5F65"/>
    <w:rsid w:val="002C61E4"/>
    <w:rsid w:val="002C65FF"/>
    <w:rsid w:val="002C75BE"/>
    <w:rsid w:val="002D157C"/>
    <w:rsid w:val="002D393D"/>
    <w:rsid w:val="002D3A86"/>
    <w:rsid w:val="002D40BF"/>
    <w:rsid w:val="002D49C0"/>
    <w:rsid w:val="002D6B6F"/>
    <w:rsid w:val="002D7A77"/>
    <w:rsid w:val="002D7BE8"/>
    <w:rsid w:val="002E098C"/>
    <w:rsid w:val="002E3E40"/>
    <w:rsid w:val="002E474B"/>
    <w:rsid w:val="002E76EF"/>
    <w:rsid w:val="002E7E70"/>
    <w:rsid w:val="002F08C6"/>
    <w:rsid w:val="002F091C"/>
    <w:rsid w:val="002F14E3"/>
    <w:rsid w:val="002F24F3"/>
    <w:rsid w:val="002F2754"/>
    <w:rsid w:val="002F27B6"/>
    <w:rsid w:val="002F2CD7"/>
    <w:rsid w:val="002F37CB"/>
    <w:rsid w:val="002F4ADA"/>
    <w:rsid w:val="002F5465"/>
    <w:rsid w:val="002F7AD0"/>
    <w:rsid w:val="002F7EF3"/>
    <w:rsid w:val="0030169A"/>
    <w:rsid w:val="00302F7F"/>
    <w:rsid w:val="00303A7C"/>
    <w:rsid w:val="0030487A"/>
    <w:rsid w:val="00304D47"/>
    <w:rsid w:val="00306123"/>
    <w:rsid w:val="00307CF1"/>
    <w:rsid w:val="00307F6B"/>
    <w:rsid w:val="0031007D"/>
    <w:rsid w:val="003107DD"/>
    <w:rsid w:val="00310D8E"/>
    <w:rsid w:val="00311B9B"/>
    <w:rsid w:val="00311CDC"/>
    <w:rsid w:val="00311F97"/>
    <w:rsid w:val="0031279C"/>
    <w:rsid w:val="00313380"/>
    <w:rsid w:val="00313E93"/>
    <w:rsid w:val="003142BE"/>
    <w:rsid w:val="00314FB3"/>
    <w:rsid w:val="0031536A"/>
    <w:rsid w:val="003157D1"/>
    <w:rsid w:val="00317222"/>
    <w:rsid w:val="00321555"/>
    <w:rsid w:val="00322799"/>
    <w:rsid w:val="003241F1"/>
    <w:rsid w:val="00324984"/>
    <w:rsid w:val="00325EB2"/>
    <w:rsid w:val="00326A53"/>
    <w:rsid w:val="003301E5"/>
    <w:rsid w:val="00332F13"/>
    <w:rsid w:val="003339D1"/>
    <w:rsid w:val="00333BB7"/>
    <w:rsid w:val="00334800"/>
    <w:rsid w:val="00334CC7"/>
    <w:rsid w:val="003355B7"/>
    <w:rsid w:val="00336C72"/>
    <w:rsid w:val="0034044F"/>
    <w:rsid w:val="00342C50"/>
    <w:rsid w:val="00343634"/>
    <w:rsid w:val="00343A1D"/>
    <w:rsid w:val="00343D9C"/>
    <w:rsid w:val="00344987"/>
    <w:rsid w:val="003459A8"/>
    <w:rsid w:val="003463EF"/>
    <w:rsid w:val="003465F0"/>
    <w:rsid w:val="00346AF1"/>
    <w:rsid w:val="00347CFE"/>
    <w:rsid w:val="0035121B"/>
    <w:rsid w:val="00352A69"/>
    <w:rsid w:val="00352D4E"/>
    <w:rsid w:val="00353969"/>
    <w:rsid w:val="00353D74"/>
    <w:rsid w:val="0035556C"/>
    <w:rsid w:val="0035574A"/>
    <w:rsid w:val="00356466"/>
    <w:rsid w:val="00360A1D"/>
    <w:rsid w:val="00360ACB"/>
    <w:rsid w:val="00361811"/>
    <w:rsid w:val="00363155"/>
    <w:rsid w:val="00363B02"/>
    <w:rsid w:val="003642B6"/>
    <w:rsid w:val="0036436D"/>
    <w:rsid w:val="003649C7"/>
    <w:rsid w:val="00365BD8"/>
    <w:rsid w:val="0036763F"/>
    <w:rsid w:val="003676C5"/>
    <w:rsid w:val="00367CA2"/>
    <w:rsid w:val="00370E66"/>
    <w:rsid w:val="0037102A"/>
    <w:rsid w:val="003716BF"/>
    <w:rsid w:val="00371760"/>
    <w:rsid w:val="00372926"/>
    <w:rsid w:val="00372E14"/>
    <w:rsid w:val="0037416F"/>
    <w:rsid w:val="0037431B"/>
    <w:rsid w:val="003758BE"/>
    <w:rsid w:val="00375AE5"/>
    <w:rsid w:val="00376869"/>
    <w:rsid w:val="003768B2"/>
    <w:rsid w:val="003778E8"/>
    <w:rsid w:val="00380598"/>
    <w:rsid w:val="00380ED1"/>
    <w:rsid w:val="00381B01"/>
    <w:rsid w:val="00382317"/>
    <w:rsid w:val="003829D9"/>
    <w:rsid w:val="00383B17"/>
    <w:rsid w:val="00384A92"/>
    <w:rsid w:val="003854F3"/>
    <w:rsid w:val="00385956"/>
    <w:rsid w:val="00386518"/>
    <w:rsid w:val="00391A61"/>
    <w:rsid w:val="003962B5"/>
    <w:rsid w:val="00397B1C"/>
    <w:rsid w:val="00397E86"/>
    <w:rsid w:val="003A01CC"/>
    <w:rsid w:val="003A027C"/>
    <w:rsid w:val="003A1388"/>
    <w:rsid w:val="003A1D20"/>
    <w:rsid w:val="003A258C"/>
    <w:rsid w:val="003A40E7"/>
    <w:rsid w:val="003A4472"/>
    <w:rsid w:val="003A5DC1"/>
    <w:rsid w:val="003A66AB"/>
    <w:rsid w:val="003A78B7"/>
    <w:rsid w:val="003B06A2"/>
    <w:rsid w:val="003B099F"/>
    <w:rsid w:val="003B0EA2"/>
    <w:rsid w:val="003B13BE"/>
    <w:rsid w:val="003B1FB7"/>
    <w:rsid w:val="003B2BF1"/>
    <w:rsid w:val="003B5B12"/>
    <w:rsid w:val="003B5BD6"/>
    <w:rsid w:val="003B5D7B"/>
    <w:rsid w:val="003B5F19"/>
    <w:rsid w:val="003B6A79"/>
    <w:rsid w:val="003B72E5"/>
    <w:rsid w:val="003C0663"/>
    <w:rsid w:val="003C0E0B"/>
    <w:rsid w:val="003C1220"/>
    <w:rsid w:val="003C2C2C"/>
    <w:rsid w:val="003C5333"/>
    <w:rsid w:val="003C5626"/>
    <w:rsid w:val="003C6339"/>
    <w:rsid w:val="003C6B76"/>
    <w:rsid w:val="003C6D3A"/>
    <w:rsid w:val="003D3B92"/>
    <w:rsid w:val="003D4056"/>
    <w:rsid w:val="003D415D"/>
    <w:rsid w:val="003D46D1"/>
    <w:rsid w:val="003E1356"/>
    <w:rsid w:val="003E1B86"/>
    <w:rsid w:val="003E2765"/>
    <w:rsid w:val="003E4925"/>
    <w:rsid w:val="003E58E5"/>
    <w:rsid w:val="003E7C9B"/>
    <w:rsid w:val="003E7D25"/>
    <w:rsid w:val="003F0417"/>
    <w:rsid w:val="003F19AA"/>
    <w:rsid w:val="003F36ED"/>
    <w:rsid w:val="003F3A0E"/>
    <w:rsid w:val="003F428A"/>
    <w:rsid w:val="003F5AB0"/>
    <w:rsid w:val="003F5BC2"/>
    <w:rsid w:val="003F6324"/>
    <w:rsid w:val="00400F91"/>
    <w:rsid w:val="004017C0"/>
    <w:rsid w:val="00402338"/>
    <w:rsid w:val="00403958"/>
    <w:rsid w:val="00405A9D"/>
    <w:rsid w:val="00406CCB"/>
    <w:rsid w:val="00406E3F"/>
    <w:rsid w:val="00406E48"/>
    <w:rsid w:val="004075AA"/>
    <w:rsid w:val="00407B08"/>
    <w:rsid w:val="004137F3"/>
    <w:rsid w:val="00414241"/>
    <w:rsid w:val="00415470"/>
    <w:rsid w:val="00416388"/>
    <w:rsid w:val="00417D4F"/>
    <w:rsid w:val="00420D65"/>
    <w:rsid w:val="004223F4"/>
    <w:rsid w:val="004224DB"/>
    <w:rsid w:val="004255BE"/>
    <w:rsid w:val="00427087"/>
    <w:rsid w:val="004300B5"/>
    <w:rsid w:val="0043103D"/>
    <w:rsid w:val="00431912"/>
    <w:rsid w:val="0043292C"/>
    <w:rsid w:val="00434121"/>
    <w:rsid w:val="004342C9"/>
    <w:rsid w:val="00435B06"/>
    <w:rsid w:val="00436A49"/>
    <w:rsid w:val="00436DE1"/>
    <w:rsid w:val="00440412"/>
    <w:rsid w:val="004418C5"/>
    <w:rsid w:val="00443674"/>
    <w:rsid w:val="00443769"/>
    <w:rsid w:val="00443935"/>
    <w:rsid w:val="004442B3"/>
    <w:rsid w:val="00444A73"/>
    <w:rsid w:val="00445986"/>
    <w:rsid w:val="00446613"/>
    <w:rsid w:val="0044662E"/>
    <w:rsid w:val="00447654"/>
    <w:rsid w:val="004476BD"/>
    <w:rsid w:val="004476E6"/>
    <w:rsid w:val="004513F9"/>
    <w:rsid w:val="004529F7"/>
    <w:rsid w:val="00452F36"/>
    <w:rsid w:val="00453130"/>
    <w:rsid w:val="0045394E"/>
    <w:rsid w:val="00453C73"/>
    <w:rsid w:val="00454B5D"/>
    <w:rsid w:val="00455B44"/>
    <w:rsid w:val="00456FA3"/>
    <w:rsid w:val="0045754E"/>
    <w:rsid w:val="004600A7"/>
    <w:rsid w:val="004602EA"/>
    <w:rsid w:val="0046086D"/>
    <w:rsid w:val="004624DE"/>
    <w:rsid w:val="00462CC5"/>
    <w:rsid w:val="00463EAE"/>
    <w:rsid w:val="004640E1"/>
    <w:rsid w:val="00464491"/>
    <w:rsid w:val="00465DE3"/>
    <w:rsid w:val="004719E1"/>
    <w:rsid w:val="0047305B"/>
    <w:rsid w:val="004755C3"/>
    <w:rsid w:val="00475A0F"/>
    <w:rsid w:val="004766C8"/>
    <w:rsid w:val="0047695A"/>
    <w:rsid w:val="004771A7"/>
    <w:rsid w:val="00477DF1"/>
    <w:rsid w:val="004803CF"/>
    <w:rsid w:val="004805E1"/>
    <w:rsid w:val="0048194E"/>
    <w:rsid w:val="00481A4B"/>
    <w:rsid w:val="004852F8"/>
    <w:rsid w:val="004864A7"/>
    <w:rsid w:val="00486D4E"/>
    <w:rsid w:val="00491782"/>
    <w:rsid w:val="00492B91"/>
    <w:rsid w:val="0049352F"/>
    <w:rsid w:val="00493D28"/>
    <w:rsid w:val="00495099"/>
    <w:rsid w:val="004964CB"/>
    <w:rsid w:val="004A1557"/>
    <w:rsid w:val="004A3E0D"/>
    <w:rsid w:val="004A40B9"/>
    <w:rsid w:val="004A465C"/>
    <w:rsid w:val="004A546B"/>
    <w:rsid w:val="004A6204"/>
    <w:rsid w:val="004A73CD"/>
    <w:rsid w:val="004A791C"/>
    <w:rsid w:val="004B0C70"/>
    <w:rsid w:val="004B0EC4"/>
    <w:rsid w:val="004B10CD"/>
    <w:rsid w:val="004B2765"/>
    <w:rsid w:val="004B2A37"/>
    <w:rsid w:val="004B30E9"/>
    <w:rsid w:val="004B3309"/>
    <w:rsid w:val="004B35B3"/>
    <w:rsid w:val="004B362E"/>
    <w:rsid w:val="004B43B7"/>
    <w:rsid w:val="004B6984"/>
    <w:rsid w:val="004B6E50"/>
    <w:rsid w:val="004C01CB"/>
    <w:rsid w:val="004C05F2"/>
    <w:rsid w:val="004C0640"/>
    <w:rsid w:val="004C223F"/>
    <w:rsid w:val="004C2689"/>
    <w:rsid w:val="004C2B0F"/>
    <w:rsid w:val="004C407E"/>
    <w:rsid w:val="004C4AB1"/>
    <w:rsid w:val="004C7A15"/>
    <w:rsid w:val="004D11B7"/>
    <w:rsid w:val="004D3F97"/>
    <w:rsid w:val="004D4B39"/>
    <w:rsid w:val="004D52E2"/>
    <w:rsid w:val="004D55CE"/>
    <w:rsid w:val="004D57A0"/>
    <w:rsid w:val="004D5F81"/>
    <w:rsid w:val="004D61D0"/>
    <w:rsid w:val="004D69B9"/>
    <w:rsid w:val="004D6BFB"/>
    <w:rsid w:val="004E0448"/>
    <w:rsid w:val="004E0791"/>
    <w:rsid w:val="004E0DB8"/>
    <w:rsid w:val="004E1C15"/>
    <w:rsid w:val="004E44CC"/>
    <w:rsid w:val="004E5CA5"/>
    <w:rsid w:val="004E5DE1"/>
    <w:rsid w:val="004E635C"/>
    <w:rsid w:val="004E640D"/>
    <w:rsid w:val="004E7D70"/>
    <w:rsid w:val="004F0E19"/>
    <w:rsid w:val="004F345D"/>
    <w:rsid w:val="004F354D"/>
    <w:rsid w:val="004F6977"/>
    <w:rsid w:val="004F7B32"/>
    <w:rsid w:val="0050024D"/>
    <w:rsid w:val="005003CB"/>
    <w:rsid w:val="00501FA2"/>
    <w:rsid w:val="005034FC"/>
    <w:rsid w:val="00503F67"/>
    <w:rsid w:val="005045FB"/>
    <w:rsid w:val="00504C77"/>
    <w:rsid w:val="005055E2"/>
    <w:rsid w:val="005106D5"/>
    <w:rsid w:val="00510994"/>
    <w:rsid w:val="005112F3"/>
    <w:rsid w:val="005126E8"/>
    <w:rsid w:val="0051591D"/>
    <w:rsid w:val="005171DA"/>
    <w:rsid w:val="00517BF1"/>
    <w:rsid w:val="00520645"/>
    <w:rsid w:val="00520920"/>
    <w:rsid w:val="0052107B"/>
    <w:rsid w:val="00521372"/>
    <w:rsid w:val="00523184"/>
    <w:rsid w:val="0052357A"/>
    <w:rsid w:val="00523AEC"/>
    <w:rsid w:val="00525D55"/>
    <w:rsid w:val="005271C7"/>
    <w:rsid w:val="005272E0"/>
    <w:rsid w:val="00530CE7"/>
    <w:rsid w:val="005316A8"/>
    <w:rsid w:val="00531DBF"/>
    <w:rsid w:val="00535C65"/>
    <w:rsid w:val="00535F30"/>
    <w:rsid w:val="00536DF1"/>
    <w:rsid w:val="00540CA8"/>
    <w:rsid w:val="00540FEC"/>
    <w:rsid w:val="005414D6"/>
    <w:rsid w:val="00541F83"/>
    <w:rsid w:val="005430C7"/>
    <w:rsid w:val="00543809"/>
    <w:rsid w:val="00543CB6"/>
    <w:rsid w:val="005446B0"/>
    <w:rsid w:val="005465AC"/>
    <w:rsid w:val="0054687E"/>
    <w:rsid w:val="0054690E"/>
    <w:rsid w:val="00546B8F"/>
    <w:rsid w:val="005475A9"/>
    <w:rsid w:val="00547935"/>
    <w:rsid w:val="00547E4F"/>
    <w:rsid w:val="00550074"/>
    <w:rsid w:val="00551DFC"/>
    <w:rsid w:val="0055211A"/>
    <w:rsid w:val="00552F55"/>
    <w:rsid w:val="0055455F"/>
    <w:rsid w:val="00555BCD"/>
    <w:rsid w:val="0055651F"/>
    <w:rsid w:val="005605F8"/>
    <w:rsid w:val="005633D7"/>
    <w:rsid w:val="0056343B"/>
    <w:rsid w:val="00563DD5"/>
    <w:rsid w:val="00564D8E"/>
    <w:rsid w:val="005650C2"/>
    <w:rsid w:val="00565484"/>
    <w:rsid w:val="00565A8C"/>
    <w:rsid w:val="00565EF8"/>
    <w:rsid w:val="005727B7"/>
    <w:rsid w:val="00574068"/>
    <w:rsid w:val="00574682"/>
    <w:rsid w:val="0057682D"/>
    <w:rsid w:val="005807B2"/>
    <w:rsid w:val="00580954"/>
    <w:rsid w:val="00581DAF"/>
    <w:rsid w:val="00582FCA"/>
    <w:rsid w:val="00583A5C"/>
    <w:rsid w:val="00584238"/>
    <w:rsid w:val="005850D6"/>
    <w:rsid w:val="0058565E"/>
    <w:rsid w:val="0058643C"/>
    <w:rsid w:val="00586EDA"/>
    <w:rsid w:val="00591531"/>
    <w:rsid w:val="005927CD"/>
    <w:rsid w:val="005928F3"/>
    <w:rsid w:val="00592F0D"/>
    <w:rsid w:val="0059343A"/>
    <w:rsid w:val="005946B8"/>
    <w:rsid w:val="00595F94"/>
    <w:rsid w:val="005964EC"/>
    <w:rsid w:val="00596E3E"/>
    <w:rsid w:val="00596E98"/>
    <w:rsid w:val="005971FD"/>
    <w:rsid w:val="0059746C"/>
    <w:rsid w:val="005A0661"/>
    <w:rsid w:val="005A0B4D"/>
    <w:rsid w:val="005A129B"/>
    <w:rsid w:val="005A1DA9"/>
    <w:rsid w:val="005A1FDF"/>
    <w:rsid w:val="005A4F1F"/>
    <w:rsid w:val="005A6732"/>
    <w:rsid w:val="005A6BD9"/>
    <w:rsid w:val="005A6F0F"/>
    <w:rsid w:val="005B0458"/>
    <w:rsid w:val="005B143F"/>
    <w:rsid w:val="005B1DF6"/>
    <w:rsid w:val="005B213E"/>
    <w:rsid w:val="005B216A"/>
    <w:rsid w:val="005B267A"/>
    <w:rsid w:val="005B4161"/>
    <w:rsid w:val="005B49EB"/>
    <w:rsid w:val="005B4EEB"/>
    <w:rsid w:val="005B64E9"/>
    <w:rsid w:val="005B7FA4"/>
    <w:rsid w:val="005C3296"/>
    <w:rsid w:val="005C528B"/>
    <w:rsid w:val="005C70CC"/>
    <w:rsid w:val="005D2CB5"/>
    <w:rsid w:val="005D37A8"/>
    <w:rsid w:val="005D386F"/>
    <w:rsid w:val="005D3969"/>
    <w:rsid w:val="005D72C1"/>
    <w:rsid w:val="005E09A9"/>
    <w:rsid w:val="005E1AFA"/>
    <w:rsid w:val="005E4813"/>
    <w:rsid w:val="005E6E82"/>
    <w:rsid w:val="005E7DDA"/>
    <w:rsid w:val="005F1051"/>
    <w:rsid w:val="005F4EFF"/>
    <w:rsid w:val="005F6167"/>
    <w:rsid w:val="00601855"/>
    <w:rsid w:val="006026FD"/>
    <w:rsid w:val="006031DC"/>
    <w:rsid w:val="00604425"/>
    <w:rsid w:val="0060535C"/>
    <w:rsid w:val="0060542A"/>
    <w:rsid w:val="006061C8"/>
    <w:rsid w:val="00607010"/>
    <w:rsid w:val="00607538"/>
    <w:rsid w:val="006102B7"/>
    <w:rsid w:val="00613D71"/>
    <w:rsid w:val="00613E2E"/>
    <w:rsid w:val="0061459D"/>
    <w:rsid w:val="00614EEC"/>
    <w:rsid w:val="00620242"/>
    <w:rsid w:val="006243E7"/>
    <w:rsid w:val="006254F3"/>
    <w:rsid w:val="00625C51"/>
    <w:rsid w:val="00625F00"/>
    <w:rsid w:val="006266EB"/>
    <w:rsid w:val="00627144"/>
    <w:rsid w:val="00627321"/>
    <w:rsid w:val="006313EC"/>
    <w:rsid w:val="006326CB"/>
    <w:rsid w:val="00633421"/>
    <w:rsid w:val="00633CAE"/>
    <w:rsid w:val="0063507E"/>
    <w:rsid w:val="00635319"/>
    <w:rsid w:val="0063697C"/>
    <w:rsid w:val="006369CC"/>
    <w:rsid w:val="006374EF"/>
    <w:rsid w:val="00640E45"/>
    <w:rsid w:val="0064210E"/>
    <w:rsid w:val="006428C7"/>
    <w:rsid w:val="00643275"/>
    <w:rsid w:val="00643E16"/>
    <w:rsid w:val="00645391"/>
    <w:rsid w:val="00646631"/>
    <w:rsid w:val="00646F06"/>
    <w:rsid w:val="00647F26"/>
    <w:rsid w:val="00651697"/>
    <w:rsid w:val="00652737"/>
    <w:rsid w:val="006536D6"/>
    <w:rsid w:val="00654653"/>
    <w:rsid w:val="006555AD"/>
    <w:rsid w:val="006560FF"/>
    <w:rsid w:val="00656462"/>
    <w:rsid w:val="00657274"/>
    <w:rsid w:val="00657569"/>
    <w:rsid w:val="00661118"/>
    <w:rsid w:val="00661FB8"/>
    <w:rsid w:val="00662875"/>
    <w:rsid w:val="00662D4D"/>
    <w:rsid w:val="00662E03"/>
    <w:rsid w:val="00663399"/>
    <w:rsid w:val="00663870"/>
    <w:rsid w:val="00663C71"/>
    <w:rsid w:val="006640F9"/>
    <w:rsid w:val="006641C6"/>
    <w:rsid w:val="006647CF"/>
    <w:rsid w:val="00664E25"/>
    <w:rsid w:val="006656A2"/>
    <w:rsid w:val="00665738"/>
    <w:rsid w:val="0066574F"/>
    <w:rsid w:val="00666247"/>
    <w:rsid w:val="00667212"/>
    <w:rsid w:val="006679EB"/>
    <w:rsid w:val="00672A26"/>
    <w:rsid w:val="00674C5F"/>
    <w:rsid w:val="00674F5E"/>
    <w:rsid w:val="00675866"/>
    <w:rsid w:val="006763B3"/>
    <w:rsid w:val="006765BB"/>
    <w:rsid w:val="006778A5"/>
    <w:rsid w:val="00677A19"/>
    <w:rsid w:val="00680491"/>
    <w:rsid w:val="00682F0F"/>
    <w:rsid w:val="006830A1"/>
    <w:rsid w:val="00683222"/>
    <w:rsid w:val="00683387"/>
    <w:rsid w:val="00685AE6"/>
    <w:rsid w:val="00686A7A"/>
    <w:rsid w:val="00686F46"/>
    <w:rsid w:val="00687B51"/>
    <w:rsid w:val="006900BC"/>
    <w:rsid w:val="00690721"/>
    <w:rsid w:val="006907CD"/>
    <w:rsid w:val="00690B47"/>
    <w:rsid w:val="00692DDF"/>
    <w:rsid w:val="0069376A"/>
    <w:rsid w:val="00694BF0"/>
    <w:rsid w:val="00696A3F"/>
    <w:rsid w:val="00697CAF"/>
    <w:rsid w:val="006A0AD6"/>
    <w:rsid w:val="006A14CE"/>
    <w:rsid w:val="006A1725"/>
    <w:rsid w:val="006A5EAE"/>
    <w:rsid w:val="006A76FE"/>
    <w:rsid w:val="006B46DC"/>
    <w:rsid w:val="006B666A"/>
    <w:rsid w:val="006B755E"/>
    <w:rsid w:val="006B7F89"/>
    <w:rsid w:val="006C0C8E"/>
    <w:rsid w:val="006C3846"/>
    <w:rsid w:val="006C4725"/>
    <w:rsid w:val="006D1FA6"/>
    <w:rsid w:val="006D21F0"/>
    <w:rsid w:val="006D2952"/>
    <w:rsid w:val="006D3181"/>
    <w:rsid w:val="006D3EDC"/>
    <w:rsid w:val="006D4845"/>
    <w:rsid w:val="006D4B20"/>
    <w:rsid w:val="006D5CDB"/>
    <w:rsid w:val="006D6ADF"/>
    <w:rsid w:val="006D6BD7"/>
    <w:rsid w:val="006D7839"/>
    <w:rsid w:val="006E02B1"/>
    <w:rsid w:val="006E0414"/>
    <w:rsid w:val="006E06C4"/>
    <w:rsid w:val="006E157D"/>
    <w:rsid w:val="006E2C2F"/>
    <w:rsid w:val="006E34FF"/>
    <w:rsid w:val="006E416A"/>
    <w:rsid w:val="006E4279"/>
    <w:rsid w:val="006E519C"/>
    <w:rsid w:val="006E6DDB"/>
    <w:rsid w:val="006E7913"/>
    <w:rsid w:val="006F0AC4"/>
    <w:rsid w:val="006F2128"/>
    <w:rsid w:val="006F2CEE"/>
    <w:rsid w:val="006F4297"/>
    <w:rsid w:val="006F5195"/>
    <w:rsid w:val="006F5D2A"/>
    <w:rsid w:val="006F61C3"/>
    <w:rsid w:val="006F730A"/>
    <w:rsid w:val="006F7546"/>
    <w:rsid w:val="006F7F7B"/>
    <w:rsid w:val="00700495"/>
    <w:rsid w:val="00701907"/>
    <w:rsid w:val="0070220A"/>
    <w:rsid w:val="00702DCA"/>
    <w:rsid w:val="0070375B"/>
    <w:rsid w:val="00704686"/>
    <w:rsid w:val="007064D1"/>
    <w:rsid w:val="00706664"/>
    <w:rsid w:val="00706C75"/>
    <w:rsid w:val="00707EEA"/>
    <w:rsid w:val="007106FF"/>
    <w:rsid w:val="00710932"/>
    <w:rsid w:val="00711C46"/>
    <w:rsid w:val="007125F4"/>
    <w:rsid w:val="00714BDB"/>
    <w:rsid w:val="00714E63"/>
    <w:rsid w:val="0071751C"/>
    <w:rsid w:val="0071795A"/>
    <w:rsid w:val="007235F4"/>
    <w:rsid w:val="00725BFA"/>
    <w:rsid w:val="00726131"/>
    <w:rsid w:val="007269A4"/>
    <w:rsid w:val="00732632"/>
    <w:rsid w:val="00732BD2"/>
    <w:rsid w:val="00733AA3"/>
    <w:rsid w:val="00733D68"/>
    <w:rsid w:val="00733E60"/>
    <w:rsid w:val="00734BF0"/>
    <w:rsid w:val="00734F8E"/>
    <w:rsid w:val="007358D4"/>
    <w:rsid w:val="00737B33"/>
    <w:rsid w:val="00737D3F"/>
    <w:rsid w:val="0074025C"/>
    <w:rsid w:val="007402F5"/>
    <w:rsid w:val="00742808"/>
    <w:rsid w:val="0074297D"/>
    <w:rsid w:val="00743951"/>
    <w:rsid w:val="0074407F"/>
    <w:rsid w:val="007453C6"/>
    <w:rsid w:val="00745C40"/>
    <w:rsid w:val="00746653"/>
    <w:rsid w:val="00750CFD"/>
    <w:rsid w:val="00751F7E"/>
    <w:rsid w:val="00753442"/>
    <w:rsid w:val="00753612"/>
    <w:rsid w:val="00754000"/>
    <w:rsid w:val="0075586C"/>
    <w:rsid w:val="007561EF"/>
    <w:rsid w:val="0075646B"/>
    <w:rsid w:val="00757C0C"/>
    <w:rsid w:val="00760447"/>
    <w:rsid w:val="00760C76"/>
    <w:rsid w:val="0076115B"/>
    <w:rsid w:val="007623A6"/>
    <w:rsid w:val="00763124"/>
    <w:rsid w:val="007644D4"/>
    <w:rsid w:val="00764687"/>
    <w:rsid w:val="00767933"/>
    <w:rsid w:val="00767B57"/>
    <w:rsid w:val="00767E50"/>
    <w:rsid w:val="00771BDB"/>
    <w:rsid w:val="00774DD6"/>
    <w:rsid w:val="00777B16"/>
    <w:rsid w:val="007806EF"/>
    <w:rsid w:val="007830DD"/>
    <w:rsid w:val="00783F3B"/>
    <w:rsid w:val="0078437C"/>
    <w:rsid w:val="00784AE6"/>
    <w:rsid w:val="00784CA4"/>
    <w:rsid w:val="00784D51"/>
    <w:rsid w:val="0078521D"/>
    <w:rsid w:val="00787769"/>
    <w:rsid w:val="00794040"/>
    <w:rsid w:val="0079507F"/>
    <w:rsid w:val="007957AB"/>
    <w:rsid w:val="00797162"/>
    <w:rsid w:val="007A030A"/>
    <w:rsid w:val="007A0608"/>
    <w:rsid w:val="007A2172"/>
    <w:rsid w:val="007A2E2A"/>
    <w:rsid w:val="007A31E6"/>
    <w:rsid w:val="007A3201"/>
    <w:rsid w:val="007A4951"/>
    <w:rsid w:val="007A69E3"/>
    <w:rsid w:val="007A7D92"/>
    <w:rsid w:val="007B1D8C"/>
    <w:rsid w:val="007B2424"/>
    <w:rsid w:val="007B39B5"/>
    <w:rsid w:val="007B44B7"/>
    <w:rsid w:val="007B59E7"/>
    <w:rsid w:val="007B71AE"/>
    <w:rsid w:val="007B754F"/>
    <w:rsid w:val="007B76CF"/>
    <w:rsid w:val="007C06DB"/>
    <w:rsid w:val="007C07F2"/>
    <w:rsid w:val="007C442F"/>
    <w:rsid w:val="007C7F1C"/>
    <w:rsid w:val="007D19D1"/>
    <w:rsid w:val="007D26D0"/>
    <w:rsid w:val="007D2F6E"/>
    <w:rsid w:val="007D31FD"/>
    <w:rsid w:val="007D4096"/>
    <w:rsid w:val="007D502C"/>
    <w:rsid w:val="007D5FE6"/>
    <w:rsid w:val="007D71B9"/>
    <w:rsid w:val="007D79F3"/>
    <w:rsid w:val="007E03DA"/>
    <w:rsid w:val="007E21C1"/>
    <w:rsid w:val="007E2F40"/>
    <w:rsid w:val="007E37B6"/>
    <w:rsid w:val="007E7CC7"/>
    <w:rsid w:val="007F0892"/>
    <w:rsid w:val="007F12B7"/>
    <w:rsid w:val="007F1AEC"/>
    <w:rsid w:val="007F1EC8"/>
    <w:rsid w:val="007F25A9"/>
    <w:rsid w:val="007F33A7"/>
    <w:rsid w:val="007F40D3"/>
    <w:rsid w:val="007F539D"/>
    <w:rsid w:val="007F5717"/>
    <w:rsid w:val="007F7A90"/>
    <w:rsid w:val="00800944"/>
    <w:rsid w:val="00801036"/>
    <w:rsid w:val="00801575"/>
    <w:rsid w:val="0080496C"/>
    <w:rsid w:val="00804AE3"/>
    <w:rsid w:val="00804F81"/>
    <w:rsid w:val="00806297"/>
    <w:rsid w:val="00807AA6"/>
    <w:rsid w:val="0081051C"/>
    <w:rsid w:val="00810FF6"/>
    <w:rsid w:val="0081368C"/>
    <w:rsid w:val="00813D5B"/>
    <w:rsid w:val="008147EC"/>
    <w:rsid w:val="00815564"/>
    <w:rsid w:val="00815D71"/>
    <w:rsid w:val="008164DC"/>
    <w:rsid w:val="00820836"/>
    <w:rsid w:val="008231BA"/>
    <w:rsid w:val="00824E2B"/>
    <w:rsid w:val="00826980"/>
    <w:rsid w:val="008304C6"/>
    <w:rsid w:val="008306DE"/>
    <w:rsid w:val="008313B2"/>
    <w:rsid w:val="00832B98"/>
    <w:rsid w:val="00835309"/>
    <w:rsid w:val="00837F0A"/>
    <w:rsid w:val="00840112"/>
    <w:rsid w:val="00840199"/>
    <w:rsid w:val="008405A7"/>
    <w:rsid w:val="00842423"/>
    <w:rsid w:val="00843DEE"/>
    <w:rsid w:val="00845419"/>
    <w:rsid w:val="00845D70"/>
    <w:rsid w:val="00846055"/>
    <w:rsid w:val="00847405"/>
    <w:rsid w:val="00847B85"/>
    <w:rsid w:val="00850132"/>
    <w:rsid w:val="00853B1B"/>
    <w:rsid w:val="00855A00"/>
    <w:rsid w:val="00856495"/>
    <w:rsid w:val="0085678F"/>
    <w:rsid w:val="008567C2"/>
    <w:rsid w:val="0085721D"/>
    <w:rsid w:val="00857625"/>
    <w:rsid w:val="008577D4"/>
    <w:rsid w:val="0086059E"/>
    <w:rsid w:val="008608D1"/>
    <w:rsid w:val="00860DDC"/>
    <w:rsid w:val="00861729"/>
    <w:rsid w:val="00862065"/>
    <w:rsid w:val="00863DB6"/>
    <w:rsid w:val="00863FD0"/>
    <w:rsid w:val="008644A7"/>
    <w:rsid w:val="008657F9"/>
    <w:rsid w:val="00865B14"/>
    <w:rsid w:val="00866479"/>
    <w:rsid w:val="00871EF8"/>
    <w:rsid w:val="008720D8"/>
    <w:rsid w:val="0087367F"/>
    <w:rsid w:val="00873A06"/>
    <w:rsid w:val="00874D70"/>
    <w:rsid w:val="00875555"/>
    <w:rsid w:val="00880915"/>
    <w:rsid w:val="00882629"/>
    <w:rsid w:val="00883E6C"/>
    <w:rsid w:val="00885AD4"/>
    <w:rsid w:val="008862B5"/>
    <w:rsid w:val="00886B95"/>
    <w:rsid w:val="0088721E"/>
    <w:rsid w:val="0088740B"/>
    <w:rsid w:val="00887544"/>
    <w:rsid w:val="0089060D"/>
    <w:rsid w:val="008908F5"/>
    <w:rsid w:val="00890A4C"/>
    <w:rsid w:val="00890DDA"/>
    <w:rsid w:val="00891133"/>
    <w:rsid w:val="00891513"/>
    <w:rsid w:val="00891914"/>
    <w:rsid w:val="008945FD"/>
    <w:rsid w:val="008951AC"/>
    <w:rsid w:val="008961B7"/>
    <w:rsid w:val="0089654C"/>
    <w:rsid w:val="0089677E"/>
    <w:rsid w:val="008978CC"/>
    <w:rsid w:val="008A1673"/>
    <w:rsid w:val="008A1F71"/>
    <w:rsid w:val="008A226B"/>
    <w:rsid w:val="008A694E"/>
    <w:rsid w:val="008B012F"/>
    <w:rsid w:val="008B128F"/>
    <w:rsid w:val="008B354A"/>
    <w:rsid w:val="008B5987"/>
    <w:rsid w:val="008B6B10"/>
    <w:rsid w:val="008B7800"/>
    <w:rsid w:val="008C2E65"/>
    <w:rsid w:val="008C34DE"/>
    <w:rsid w:val="008C37C8"/>
    <w:rsid w:val="008C43F9"/>
    <w:rsid w:val="008C4DFD"/>
    <w:rsid w:val="008C5BD8"/>
    <w:rsid w:val="008C5C8C"/>
    <w:rsid w:val="008C68A8"/>
    <w:rsid w:val="008D0BF5"/>
    <w:rsid w:val="008D114B"/>
    <w:rsid w:val="008D34FE"/>
    <w:rsid w:val="008D4E68"/>
    <w:rsid w:val="008D52D6"/>
    <w:rsid w:val="008D6987"/>
    <w:rsid w:val="008D7DDB"/>
    <w:rsid w:val="008E08F8"/>
    <w:rsid w:val="008E1F19"/>
    <w:rsid w:val="008E5912"/>
    <w:rsid w:val="008E7169"/>
    <w:rsid w:val="008F075C"/>
    <w:rsid w:val="008F0AF1"/>
    <w:rsid w:val="008F0B32"/>
    <w:rsid w:val="008F11E2"/>
    <w:rsid w:val="008F19A5"/>
    <w:rsid w:val="008F3660"/>
    <w:rsid w:val="008F3F09"/>
    <w:rsid w:val="008F436E"/>
    <w:rsid w:val="008F7B87"/>
    <w:rsid w:val="00901F97"/>
    <w:rsid w:val="009025A6"/>
    <w:rsid w:val="009025F1"/>
    <w:rsid w:val="009027DA"/>
    <w:rsid w:val="00902C55"/>
    <w:rsid w:val="00904F5A"/>
    <w:rsid w:val="00906098"/>
    <w:rsid w:val="009063EB"/>
    <w:rsid w:val="00907206"/>
    <w:rsid w:val="00907611"/>
    <w:rsid w:val="00907AD9"/>
    <w:rsid w:val="00910BF0"/>
    <w:rsid w:val="00911126"/>
    <w:rsid w:val="00911C69"/>
    <w:rsid w:val="009121CD"/>
    <w:rsid w:val="009129DD"/>
    <w:rsid w:val="00912DEC"/>
    <w:rsid w:val="0091364C"/>
    <w:rsid w:val="009149A9"/>
    <w:rsid w:val="009152A2"/>
    <w:rsid w:val="00915D80"/>
    <w:rsid w:val="0092040D"/>
    <w:rsid w:val="009205BD"/>
    <w:rsid w:val="00922AF3"/>
    <w:rsid w:val="00923EF9"/>
    <w:rsid w:val="00924E28"/>
    <w:rsid w:val="00925384"/>
    <w:rsid w:val="00925E13"/>
    <w:rsid w:val="00925EE3"/>
    <w:rsid w:val="00926ACD"/>
    <w:rsid w:val="00926F34"/>
    <w:rsid w:val="009301F1"/>
    <w:rsid w:val="00930D8F"/>
    <w:rsid w:val="00933311"/>
    <w:rsid w:val="00934A69"/>
    <w:rsid w:val="00935197"/>
    <w:rsid w:val="009356A4"/>
    <w:rsid w:val="00936722"/>
    <w:rsid w:val="009376A3"/>
    <w:rsid w:val="00937A0D"/>
    <w:rsid w:val="009405F0"/>
    <w:rsid w:val="00940F46"/>
    <w:rsid w:val="00943BBF"/>
    <w:rsid w:val="009451C2"/>
    <w:rsid w:val="00945BFC"/>
    <w:rsid w:val="009468FC"/>
    <w:rsid w:val="0095018E"/>
    <w:rsid w:val="00950C28"/>
    <w:rsid w:val="009528ED"/>
    <w:rsid w:val="00952920"/>
    <w:rsid w:val="00954212"/>
    <w:rsid w:val="009546D8"/>
    <w:rsid w:val="009548FE"/>
    <w:rsid w:val="00954AE4"/>
    <w:rsid w:val="00954B36"/>
    <w:rsid w:val="009558F0"/>
    <w:rsid w:val="00962BA0"/>
    <w:rsid w:val="009632D7"/>
    <w:rsid w:val="00963962"/>
    <w:rsid w:val="00964509"/>
    <w:rsid w:val="0096561F"/>
    <w:rsid w:val="00965A62"/>
    <w:rsid w:val="00965A8D"/>
    <w:rsid w:val="00966C54"/>
    <w:rsid w:val="00966FB7"/>
    <w:rsid w:val="009678FD"/>
    <w:rsid w:val="0097123A"/>
    <w:rsid w:val="00972789"/>
    <w:rsid w:val="00972CB3"/>
    <w:rsid w:val="0097416F"/>
    <w:rsid w:val="00974BBA"/>
    <w:rsid w:val="0097541B"/>
    <w:rsid w:val="00975828"/>
    <w:rsid w:val="00975DA4"/>
    <w:rsid w:val="0097649D"/>
    <w:rsid w:val="00977987"/>
    <w:rsid w:val="00983B47"/>
    <w:rsid w:val="00984598"/>
    <w:rsid w:val="00984F86"/>
    <w:rsid w:val="00985092"/>
    <w:rsid w:val="009853EE"/>
    <w:rsid w:val="00987D47"/>
    <w:rsid w:val="00990D29"/>
    <w:rsid w:val="009916C7"/>
    <w:rsid w:val="00991914"/>
    <w:rsid w:val="00992DFF"/>
    <w:rsid w:val="009940CF"/>
    <w:rsid w:val="0099428E"/>
    <w:rsid w:val="009944E0"/>
    <w:rsid w:val="00994E8C"/>
    <w:rsid w:val="0099567E"/>
    <w:rsid w:val="00995CE5"/>
    <w:rsid w:val="009969FD"/>
    <w:rsid w:val="009A1B56"/>
    <w:rsid w:val="009A1C67"/>
    <w:rsid w:val="009A23E0"/>
    <w:rsid w:val="009A32F5"/>
    <w:rsid w:val="009A42A8"/>
    <w:rsid w:val="009A4397"/>
    <w:rsid w:val="009A5462"/>
    <w:rsid w:val="009A58EC"/>
    <w:rsid w:val="009A59B0"/>
    <w:rsid w:val="009A5BBB"/>
    <w:rsid w:val="009A6073"/>
    <w:rsid w:val="009A6CE9"/>
    <w:rsid w:val="009A70D7"/>
    <w:rsid w:val="009A7DF7"/>
    <w:rsid w:val="009B09C6"/>
    <w:rsid w:val="009B0A53"/>
    <w:rsid w:val="009B1ACA"/>
    <w:rsid w:val="009B242B"/>
    <w:rsid w:val="009B4A2A"/>
    <w:rsid w:val="009B5B0A"/>
    <w:rsid w:val="009B717A"/>
    <w:rsid w:val="009C0179"/>
    <w:rsid w:val="009C0A02"/>
    <w:rsid w:val="009C0FC8"/>
    <w:rsid w:val="009C149E"/>
    <w:rsid w:val="009C2256"/>
    <w:rsid w:val="009C2970"/>
    <w:rsid w:val="009C3479"/>
    <w:rsid w:val="009C3782"/>
    <w:rsid w:val="009C3E2A"/>
    <w:rsid w:val="009C4B02"/>
    <w:rsid w:val="009C53AF"/>
    <w:rsid w:val="009C5A69"/>
    <w:rsid w:val="009D0BFE"/>
    <w:rsid w:val="009D182C"/>
    <w:rsid w:val="009D41CA"/>
    <w:rsid w:val="009D46BE"/>
    <w:rsid w:val="009D4ED5"/>
    <w:rsid w:val="009D5001"/>
    <w:rsid w:val="009D5869"/>
    <w:rsid w:val="009D6688"/>
    <w:rsid w:val="009E26B9"/>
    <w:rsid w:val="009E3502"/>
    <w:rsid w:val="009E3B58"/>
    <w:rsid w:val="009E40DD"/>
    <w:rsid w:val="009E45C9"/>
    <w:rsid w:val="009E56B5"/>
    <w:rsid w:val="009E56F4"/>
    <w:rsid w:val="009E6202"/>
    <w:rsid w:val="009E662A"/>
    <w:rsid w:val="009E6BFC"/>
    <w:rsid w:val="009E7161"/>
    <w:rsid w:val="009E74C5"/>
    <w:rsid w:val="009E776F"/>
    <w:rsid w:val="009F0DB1"/>
    <w:rsid w:val="009F1936"/>
    <w:rsid w:val="009F2040"/>
    <w:rsid w:val="009F2104"/>
    <w:rsid w:val="009F2584"/>
    <w:rsid w:val="009F278F"/>
    <w:rsid w:val="009F2800"/>
    <w:rsid w:val="009F412B"/>
    <w:rsid w:val="009F4407"/>
    <w:rsid w:val="009F47A2"/>
    <w:rsid w:val="009F57BF"/>
    <w:rsid w:val="009F6808"/>
    <w:rsid w:val="009F6A0B"/>
    <w:rsid w:val="009F6D02"/>
    <w:rsid w:val="009F7BBD"/>
    <w:rsid w:val="009F7BF9"/>
    <w:rsid w:val="00A00951"/>
    <w:rsid w:val="00A009A2"/>
    <w:rsid w:val="00A022A1"/>
    <w:rsid w:val="00A02E8A"/>
    <w:rsid w:val="00A03446"/>
    <w:rsid w:val="00A03AF5"/>
    <w:rsid w:val="00A03BF8"/>
    <w:rsid w:val="00A049F9"/>
    <w:rsid w:val="00A051C8"/>
    <w:rsid w:val="00A061F5"/>
    <w:rsid w:val="00A06B44"/>
    <w:rsid w:val="00A10960"/>
    <w:rsid w:val="00A141B7"/>
    <w:rsid w:val="00A14D5E"/>
    <w:rsid w:val="00A17418"/>
    <w:rsid w:val="00A21AB4"/>
    <w:rsid w:val="00A24E37"/>
    <w:rsid w:val="00A252EB"/>
    <w:rsid w:val="00A2594E"/>
    <w:rsid w:val="00A25D87"/>
    <w:rsid w:val="00A26BE5"/>
    <w:rsid w:val="00A26C1C"/>
    <w:rsid w:val="00A30F8F"/>
    <w:rsid w:val="00A323CC"/>
    <w:rsid w:val="00A32C0E"/>
    <w:rsid w:val="00A32EFD"/>
    <w:rsid w:val="00A33522"/>
    <w:rsid w:val="00A3358B"/>
    <w:rsid w:val="00A34916"/>
    <w:rsid w:val="00A349E1"/>
    <w:rsid w:val="00A34F62"/>
    <w:rsid w:val="00A35B95"/>
    <w:rsid w:val="00A35F40"/>
    <w:rsid w:val="00A360FE"/>
    <w:rsid w:val="00A363CB"/>
    <w:rsid w:val="00A37E06"/>
    <w:rsid w:val="00A37FA0"/>
    <w:rsid w:val="00A4131F"/>
    <w:rsid w:val="00A44252"/>
    <w:rsid w:val="00A454E6"/>
    <w:rsid w:val="00A4766A"/>
    <w:rsid w:val="00A50F48"/>
    <w:rsid w:val="00A527BC"/>
    <w:rsid w:val="00A52E90"/>
    <w:rsid w:val="00A53099"/>
    <w:rsid w:val="00A557C9"/>
    <w:rsid w:val="00A562C0"/>
    <w:rsid w:val="00A60D25"/>
    <w:rsid w:val="00A60FBC"/>
    <w:rsid w:val="00A61370"/>
    <w:rsid w:val="00A61F5D"/>
    <w:rsid w:val="00A6310F"/>
    <w:rsid w:val="00A636CF"/>
    <w:rsid w:val="00A6575E"/>
    <w:rsid w:val="00A65E12"/>
    <w:rsid w:val="00A66FC6"/>
    <w:rsid w:val="00A67467"/>
    <w:rsid w:val="00A712E2"/>
    <w:rsid w:val="00A722B9"/>
    <w:rsid w:val="00A74655"/>
    <w:rsid w:val="00A74B2E"/>
    <w:rsid w:val="00A758F4"/>
    <w:rsid w:val="00A75E9A"/>
    <w:rsid w:val="00A802B9"/>
    <w:rsid w:val="00A80C48"/>
    <w:rsid w:val="00A8122A"/>
    <w:rsid w:val="00A81916"/>
    <w:rsid w:val="00A82897"/>
    <w:rsid w:val="00A8399D"/>
    <w:rsid w:val="00A86084"/>
    <w:rsid w:val="00A86D50"/>
    <w:rsid w:val="00A87882"/>
    <w:rsid w:val="00A919AE"/>
    <w:rsid w:val="00A9310B"/>
    <w:rsid w:val="00A9411B"/>
    <w:rsid w:val="00A94213"/>
    <w:rsid w:val="00A94A12"/>
    <w:rsid w:val="00A96FC8"/>
    <w:rsid w:val="00A975AF"/>
    <w:rsid w:val="00AA0297"/>
    <w:rsid w:val="00AA0467"/>
    <w:rsid w:val="00AA0A0E"/>
    <w:rsid w:val="00AA19AA"/>
    <w:rsid w:val="00AA2110"/>
    <w:rsid w:val="00AA236A"/>
    <w:rsid w:val="00AA2E8C"/>
    <w:rsid w:val="00AA2EB8"/>
    <w:rsid w:val="00AA33E7"/>
    <w:rsid w:val="00AA347C"/>
    <w:rsid w:val="00AA4AFD"/>
    <w:rsid w:val="00AA51FF"/>
    <w:rsid w:val="00AA66A4"/>
    <w:rsid w:val="00AA6CAA"/>
    <w:rsid w:val="00AA7C31"/>
    <w:rsid w:val="00AB03EF"/>
    <w:rsid w:val="00AB0B01"/>
    <w:rsid w:val="00AB3041"/>
    <w:rsid w:val="00AB3D2E"/>
    <w:rsid w:val="00AB4415"/>
    <w:rsid w:val="00AB4E3E"/>
    <w:rsid w:val="00AB604A"/>
    <w:rsid w:val="00AB6C79"/>
    <w:rsid w:val="00AC01EA"/>
    <w:rsid w:val="00AC09DC"/>
    <w:rsid w:val="00AC298F"/>
    <w:rsid w:val="00AC5D36"/>
    <w:rsid w:val="00AC6D00"/>
    <w:rsid w:val="00AD067A"/>
    <w:rsid w:val="00AD0B8C"/>
    <w:rsid w:val="00AD47B9"/>
    <w:rsid w:val="00AD50CA"/>
    <w:rsid w:val="00AD5870"/>
    <w:rsid w:val="00AD5C4D"/>
    <w:rsid w:val="00AE1BD0"/>
    <w:rsid w:val="00AE1F9E"/>
    <w:rsid w:val="00AE317D"/>
    <w:rsid w:val="00AE35E2"/>
    <w:rsid w:val="00AE3BA1"/>
    <w:rsid w:val="00AE4B00"/>
    <w:rsid w:val="00AE5250"/>
    <w:rsid w:val="00AE5259"/>
    <w:rsid w:val="00AE5C8E"/>
    <w:rsid w:val="00AE6B15"/>
    <w:rsid w:val="00AE6FD6"/>
    <w:rsid w:val="00AE7253"/>
    <w:rsid w:val="00AF0B6C"/>
    <w:rsid w:val="00AF2763"/>
    <w:rsid w:val="00AF2881"/>
    <w:rsid w:val="00AF384E"/>
    <w:rsid w:val="00AF5647"/>
    <w:rsid w:val="00B029B7"/>
    <w:rsid w:val="00B0328B"/>
    <w:rsid w:val="00B03E26"/>
    <w:rsid w:val="00B04199"/>
    <w:rsid w:val="00B0583F"/>
    <w:rsid w:val="00B05932"/>
    <w:rsid w:val="00B0669C"/>
    <w:rsid w:val="00B11729"/>
    <w:rsid w:val="00B11780"/>
    <w:rsid w:val="00B11AA6"/>
    <w:rsid w:val="00B11E69"/>
    <w:rsid w:val="00B125E0"/>
    <w:rsid w:val="00B12E1D"/>
    <w:rsid w:val="00B13421"/>
    <w:rsid w:val="00B134AB"/>
    <w:rsid w:val="00B14377"/>
    <w:rsid w:val="00B14C3D"/>
    <w:rsid w:val="00B15AE4"/>
    <w:rsid w:val="00B20054"/>
    <w:rsid w:val="00B206DA"/>
    <w:rsid w:val="00B24BF1"/>
    <w:rsid w:val="00B24DAC"/>
    <w:rsid w:val="00B25C02"/>
    <w:rsid w:val="00B275F1"/>
    <w:rsid w:val="00B2764F"/>
    <w:rsid w:val="00B308A3"/>
    <w:rsid w:val="00B31F02"/>
    <w:rsid w:val="00B32E6F"/>
    <w:rsid w:val="00B33002"/>
    <w:rsid w:val="00B33815"/>
    <w:rsid w:val="00B338FE"/>
    <w:rsid w:val="00B342C1"/>
    <w:rsid w:val="00B35E7F"/>
    <w:rsid w:val="00B36561"/>
    <w:rsid w:val="00B40096"/>
    <w:rsid w:val="00B400EA"/>
    <w:rsid w:val="00B40A75"/>
    <w:rsid w:val="00B40D41"/>
    <w:rsid w:val="00B41904"/>
    <w:rsid w:val="00B42C54"/>
    <w:rsid w:val="00B434EE"/>
    <w:rsid w:val="00B46129"/>
    <w:rsid w:val="00B46A8B"/>
    <w:rsid w:val="00B46ADD"/>
    <w:rsid w:val="00B46C85"/>
    <w:rsid w:val="00B46CD8"/>
    <w:rsid w:val="00B47575"/>
    <w:rsid w:val="00B51253"/>
    <w:rsid w:val="00B52798"/>
    <w:rsid w:val="00B535E8"/>
    <w:rsid w:val="00B547C8"/>
    <w:rsid w:val="00B55839"/>
    <w:rsid w:val="00B57631"/>
    <w:rsid w:val="00B57C55"/>
    <w:rsid w:val="00B6146A"/>
    <w:rsid w:val="00B630BA"/>
    <w:rsid w:val="00B630CF"/>
    <w:rsid w:val="00B65358"/>
    <w:rsid w:val="00B654FB"/>
    <w:rsid w:val="00B65ACE"/>
    <w:rsid w:val="00B65C97"/>
    <w:rsid w:val="00B65EC2"/>
    <w:rsid w:val="00B66FE1"/>
    <w:rsid w:val="00B7007B"/>
    <w:rsid w:val="00B70732"/>
    <w:rsid w:val="00B71476"/>
    <w:rsid w:val="00B722D0"/>
    <w:rsid w:val="00B728F3"/>
    <w:rsid w:val="00B73982"/>
    <w:rsid w:val="00B73ECE"/>
    <w:rsid w:val="00B7485F"/>
    <w:rsid w:val="00B764F7"/>
    <w:rsid w:val="00B77029"/>
    <w:rsid w:val="00B77183"/>
    <w:rsid w:val="00B77648"/>
    <w:rsid w:val="00B817E0"/>
    <w:rsid w:val="00B83416"/>
    <w:rsid w:val="00B83455"/>
    <w:rsid w:val="00B83578"/>
    <w:rsid w:val="00B843CD"/>
    <w:rsid w:val="00B846A7"/>
    <w:rsid w:val="00B84BD5"/>
    <w:rsid w:val="00B85057"/>
    <w:rsid w:val="00B857D7"/>
    <w:rsid w:val="00B86B05"/>
    <w:rsid w:val="00B86B09"/>
    <w:rsid w:val="00B86B7A"/>
    <w:rsid w:val="00B87698"/>
    <w:rsid w:val="00B876EF"/>
    <w:rsid w:val="00B92014"/>
    <w:rsid w:val="00B93713"/>
    <w:rsid w:val="00B94616"/>
    <w:rsid w:val="00B96979"/>
    <w:rsid w:val="00B96A9D"/>
    <w:rsid w:val="00BA1748"/>
    <w:rsid w:val="00BA19EC"/>
    <w:rsid w:val="00BA2225"/>
    <w:rsid w:val="00BA39C4"/>
    <w:rsid w:val="00BA3BB4"/>
    <w:rsid w:val="00BA474B"/>
    <w:rsid w:val="00BA7879"/>
    <w:rsid w:val="00BB3055"/>
    <w:rsid w:val="00BB3AEE"/>
    <w:rsid w:val="00BB3FCD"/>
    <w:rsid w:val="00BB417F"/>
    <w:rsid w:val="00BB444A"/>
    <w:rsid w:val="00BB5D1A"/>
    <w:rsid w:val="00BB6334"/>
    <w:rsid w:val="00BB64EA"/>
    <w:rsid w:val="00BB6C2F"/>
    <w:rsid w:val="00BC1E7E"/>
    <w:rsid w:val="00BC216D"/>
    <w:rsid w:val="00BC2AA4"/>
    <w:rsid w:val="00BC2C37"/>
    <w:rsid w:val="00BC375A"/>
    <w:rsid w:val="00BC4B4D"/>
    <w:rsid w:val="00BC55A1"/>
    <w:rsid w:val="00BC7D96"/>
    <w:rsid w:val="00BD2099"/>
    <w:rsid w:val="00BD25BF"/>
    <w:rsid w:val="00BD32FA"/>
    <w:rsid w:val="00BD5B01"/>
    <w:rsid w:val="00BD79D8"/>
    <w:rsid w:val="00BE0054"/>
    <w:rsid w:val="00BE0F2C"/>
    <w:rsid w:val="00BE0F82"/>
    <w:rsid w:val="00BE309E"/>
    <w:rsid w:val="00BE312A"/>
    <w:rsid w:val="00BE4694"/>
    <w:rsid w:val="00BE51FD"/>
    <w:rsid w:val="00BE5CD8"/>
    <w:rsid w:val="00BE5D49"/>
    <w:rsid w:val="00BE6642"/>
    <w:rsid w:val="00BE73F0"/>
    <w:rsid w:val="00BF00E3"/>
    <w:rsid w:val="00BF0778"/>
    <w:rsid w:val="00BF13A5"/>
    <w:rsid w:val="00BF16D5"/>
    <w:rsid w:val="00BF2689"/>
    <w:rsid w:val="00BF3213"/>
    <w:rsid w:val="00BF3DEE"/>
    <w:rsid w:val="00BF44BF"/>
    <w:rsid w:val="00BF760E"/>
    <w:rsid w:val="00BF7F71"/>
    <w:rsid w:val="00C0019E"/>
    <w:rsid w:val="00C00872"/>
    <w:rsid w:val="00C00F07"/>
    <w:rsid w:val="00C02817"/>
    <w:rsid w:val="00C029DF"/>
    <w:rsid w:val="00C04198"/>
    <w:rsid w:val="00C0489E"/>
    <w:rsid w:val="00C04E48"/>
    <w:rsid w:val="00C055C3"/>
    <w:rsid w:val="00C066DE"/>
    <w:rsid w:val="00C0725D"/>
    <w:rsid w:val="00C0742D"/>
    <w:rsid w:val="00C116D2"/>
    <w:rsid w:val="00C126FA"/>
    <w:rsid w:val="00C12952"/>
    <w:rsid w:val="00C14230"/>
    <w:rsid w:val="00C149E5"/>
    <w:rsid w:val="00C15A1F"/>
    <w:rsid w:val="00C167AC"/>
    <w:rsid w:val="00C16B96"/>
    <w:rsid w:val="00C17BF6"/>
    <w:rsid w:val="00C20E2F"/>
    <w:rsid w:val="00C21346"/>
    <w:rsid w:val="00C22776"/>
    <w:rsid w:val="00C2476B"/>
    <w:rsid w:val="00C24788"/>
    <w:rsid w:val="00C250DA"/>
    <w:rsid w:val="00C25E5D"/>
    <w:rsid w:val="00C3000A"/>
    <w:rsid w:val="00C31CCC"/>
    <w:rsid w:val="00C32997"/>
    <w:rsid w:val="00C32FDE"/>
    <w:rsid w:val="00C3359C"/>
    <w:rsid w:val="00C335EC"/>
    <w:rsid w:val="00C34C50"/>
    <w:rsid w:val="00C35819"/>
    <w:rsid w:val="00C374B1"/>
    <w:rsid w:val="00C37A1C"/>
    <w:rsid w:val="00C42060"/>
    <w:rsid w:val="00C45049"/>
    <w:rsid w:val="00C45F57"/>
    <w:rsid w:val="00C46500"/>
    <w:rsid w:val="00C47957"/>
    <w:rsid w:val="00C47B96"/>
    <w:rsid w:val="00C501AD"/>
    <w:rsid w:val="00C50250"/>
    <w:rsid w:val="00C51A8A"/>
    <w:rsid w:val="00C51EDF"/>
    <w:rsid w:val="00C52165"/>
    <w:rsid w:val="00C5250C"/>
    <w:rsid w:val="00C529FC"/>
    <w:rsid w:val="00C56001"/>
    <w:rsid w:val="00C57D0B"/>
    <w:rsid w:val="00C62CB0"/>
    <w:rsid w:val="00C63D24"/>
    <w:rsid w:val="00C640CD"/>
    <w:rsid w:val="00C65A0E"/>
    <w:rsid w:val="00C65CD9"/>
    <w:rsid w:val="00C65E89"/>
    <w:rsid w:val="00C671F1"/>
    <w:rsid w:val="00C700AE"/>
    <w:rsid w:val="00C712D1"/>
    <w:rsid w:val="00C72738"/>
    <w:rsid w:val="00C729BA"/>
    <w:rsid w:val="00C72A14"/>
    <w:rsid w:val="00C72DC4"/>
    <w:rsid w:val="00C72E5F"/>
    <w:rsid w:val="00C73520"/>
    <w:rsid w:val="00C738F6"/>
    <w:rsid w:val="00C73CA6"/>
    <w:rsid w:val="00C76093"/>
    <w:rsid w:val="00C8145D"/>
    <w:rsid w:val="00C8332F"/>
    <w:rsid w:val="00C85037"/>
    <w:rsid w:val="00C8592B"/>
    <w:rsid w:val="00C85C58"/>
    <w:rsid w:val="00C8660A"/>
    <w:rsid w:val="00C91DD7"/>
    <w:rsid w:val="00C92F61"/>
    <w:rsid w:val="00C96F31"/>
    <w:rsid w:val="00C978AA"/>
    <w:rsid w:val="00C97FC1"/>
    <w:rsid w:val="00CA2576"/>
    <w:rsid w:val="00CA279F"/>
    <w:rsid w:val="00CA49C2"/>
    <w:rsid w:val="00CA50BF"/>
    <w:rsid w:val="00CA569B"/>
    <w:rsid w:val="00CA652B"/>
    <w:rsid w:val="00CA6FFD"/>
    <w:rsid w:val="00CA7199"/>
    <w:rsid w:val="00CA776F"/>
    <w:rsid w:val="00CB120F"/>
    <w:rsid w:val="00CB3BE0"/>
    <w:rsid w:val="00CB407E"/>
    <w:rsid w:val="00CB541A"/>
    <w:rsid w:val="00CB5FD7"/>
    <w:rsid w:val="00CB68AF"/>
    <w:rsid w:val="00CB74C4"/>
    <w:rsid w:val="00CB7BB9"/>
    <w:rsid w:val="00CB7F74"/>
    <w:rsid w:val="00CC14C1"/>
    <w:rsid w:val="00CC157B"/>
    <w:rsid w:val="00CC25EB"/>
    <w:rsid w:val="00CC4269"/>
    <w:rsid w:val="00CC4885"/>
    <w:rsid w:val="00CC5A42"/>
    <w:rsid w:val="00CC6ED1"/>
    <w:rsid w:val="00CC7CE2"/>
    <w:rsid w:val="00CD05FD"/>
    <w:rsid w:val="00CD12D7"/>
    <w:rsid w:val="00CD160A"/>
    <w:rsid w:val="00CD1819"/>
    <w:rsid w:val="00CD1B8D"/>
    <w:rsid w:val="00CD2730"/>
    <w:rsid w:val="00CD2896"/>
    <w:rsid w:val="00CD44A9"/>
    <w:rsid w:val="00CD57D3"/>
    <w:rsid w:val="00CD6149"/>
    <w:rsid w:val="00CD69B2"/>
    <w:rsid w:val="00CD6FD1"/>
    <w:rsid w:val="00CD7D98"/>
    <w:rsid w:val="00CE3598"/>
    <w:rsid w:val="00CE4865"/>
    <w:rsid w:val="00CE58EB"/>
    <w:rsid w:val="00CE5B3A"/>
    <w:rsid w:val="00CE6A45"/>
    <w:rsid w:val="00CE73E6"/>
    <w:rsid w:val="00CE79BB"/>
    <w:rsid w:val="00CF0A0F"/>
    <w:rsid w:val="00CF23E3"/>
    <w:rsid w:val="00CF2968"/>
    <w:rsid w:val="00CF328E"/>
    <w:rsid w:val="00CF605E"/>
    <w:rsid w:val="00D01398"/>
    <w:rsid w:val="00D01AA3"/>
    <w:rsid w:val="00D032D8"/>
    <w:rsid w:val="00D03688"/>
    <w:rsid w:val="00D067CA"/>
    <w:rsid w:val="00D06DA1"/>
    <w:rsid w:val="00D14E9B"/>
    <w:rsid w:val="00D1631D"/>
    <w:rsid w:val="00D17DC1"/>
    <w:rsid w:val="00D20263"/>
    <w:rsid w:val="00D21F09"/>
    <w:rsid w:val="00D220EC"/>
    <w:rsid w:val="00D22361"/>
    <w:rsid w:val="00D22BD0"/>
    <w:rsid w:val="00D22E69"/>
    <w:rsid w:val="00D22EDD"/>
    <w:rsid w:val="00D23E16"/>
    <w:rsid w:val="00D2454F"/>
    <w:rsid w:val="00D253EB"/>
    <w:rsid w:val="00D30C94"/>
    <w:rsid w:val="00D3146C"/>
    <w:rsid w:val="00D31AD2"/>
    <w:rsid w:val="00D32503"/>
    <w:rsid w:val="00D32A20"/>
    <w:rsid w:val="00D32F52"/>
    <w:rsid w:val="00D34B0E"/>
    <w:rsid w:val="00D363F6"/>
    <w:rsid w:val="00D36D1E"/>
    <w:rsid w:val="00D37071"/>
    <w:rsid w:val="00D37296"/>
    <w:rsid w:val="00D37B8E"/>
    <w:rsid w:val="00D4118C"/>
    <w:rsid w:val="00D42408"/>
    <w:rsid w:val="00D431AB"/>
    <w:rsid w:val="00D43C1D"/>
    <w:rsid w:val="00D43D85"/>
    <w:rsid w:val="00D44D81"/>
    <w:rsid w:val="00D44FF9"/>
    <w:rsid w:val="00D4654C"/>
    <w:rsid w:val="00D46CDB"/>
    <w:rsid w:val="00D46DF1"/>
    <w:rsid w:val="00D50964"/>
    <w:rsid w:val="00D50FE7"/>
    <w:rsid w:val="00D51C9A"/>
    <w:rsid w:val="00D5414D"/>
    <w:rsid w:val="00D541DC"/>
    <w:rsid w:val="00D55412"/>
    <w:rsid w:val="00D56AFD"/>
    <w:rsid w:val="00D571D9"/>
    <w:rsid w:val="00D57F23"/>
    <w:rsid w:val="00D6227C"/>
    <w:rsid w:val="00D62645"/>
    <w:rsid w:val="00D631BC"/>
    <w:rsid w:val="00D6321D"/>
    <w:rsid w:val="00D63C60"/>
    <w:rsid w:val="00D64231"/>
    <w:rsid w:val="00D651DD"/>
    <w:rsid w:val="00D65269"/>
    <w:rsid w:val="00D664BD"/>
    <w:rsid w:val="00D70BC5"/>
    <w:rsid w:val="00D72099"/>
    <w:rsid w:val="00D749BA"/>
    <w:rsid w:val="00D75151"/>
    <w:rsid w:val="00D7649C"/>
    <w:rsid w:val="00D77666"/>
    <w:rsid w:val="00D77691"/>
    <w:rsid w:val="00D810E8"/>
    <w:rsid w:val="00D82AD9"/>
    <w:rsid w:val="00D83165"/>
    <w:rsid w:val="00D8376F"/>
    <w:rsid w:val="00D86C21"/>
    <w:rsid w:val="00D87E6F"/>
    <w:rsid w:val="00D9082F"/>
    <w:rsid w:val="00D9279B"/>
    <w:rsid w:val="00D94630"/>
    <w:rsid w:val="00D94E6E"/>
    <w:rsid w:val="00D952BE"/>
    <w:rsid w:val="00D96227"/>
    <w:rsid w:val="00D96679"/>
    <w:rsid w:val="00D97347"/>
    <w:rsid w:val="00DA1BEE"/>
    <w:rsid w:val="00DA3911"/>
    <w:rsid w:val="00DA42EF"/>
    <w:rsid w:val="00DA43B9"/>
    <w:rsid w:val="00DA4B0E"/>
    <w:rsid w:val="00DA6ABC"/>
    <w:rsid w:val="00DA6ACF"/>
    <w:rsid w:val="00DA7DED"/>
    <w:rsid w:val="00DB026F"/>
    <w:rsid w:val="00DB0C79"/>
    <w:rsid w:val="00DB11F4"/>
    <w:rsid w:val="00DB2DC1"/>
    <w:rsid w:val="00DB3322"/>
    <w:rsid w:val="00DB45ED"/>
    <w:rsid w:val="00DB60D0"/>
    <w:rsid w:val="00DB6685"/>
    <w:rsid w:val="00DB6C15"/>
    <w:rsid w:val="00DB74DE"/>
    <w:rsid w:val="00DC13B7"/>
    <w:rsid w:val="00DC1CA3"/>
    <w:rsid w:val="00DC1FAF"/>
    <w:rsid w:val="00DC25CB"/>
    <w:rsid w:val="00DC393D"/>
    <w:rsid w:val="00DC4987"/>
    <w:rsid w:val="00DC4E08"/>
    <w:rsid w:val="00DC511E"/>
    <w:rsid w:val="00DC59C7"/>
    <w:rsid w:val="00DC6790"/>
    <w:rsid w:val="00DC7436"/>
    <w:rsid w:val="00DD091C"/>
    <w:rsid w:val="00DD418B"/>
    <w:rsid w:val="00DD427D"/>
    <w:rsid w:val="00DD45DA"/>
    <w:rsid w:val="00DD5A53"/>
    <w:rsid w:val="00DD5F50"/>
    <w:rsid w:val="00DD72A0"/>
    <w:rsid w:val="00DE1263"/>
    <w:rsid w:val="00DE15F4"/>
    <w:rsid w:val="00DE1A0A"/>
    <w:rsid w:val="00DE2088"/>
    <w:rsid w:val="00DE2698"/>
    <w:rsid w:val="00DE3DFD"/>
    <w:rsid w:val="00DE3FF3"/>
    <w:rsid w:val="00DE471B"/>
    <w:rsid w:val="00DE4A6B"/>
    <w:rsid w:val="00DE517F"/>
    <w:rsid w:val="00DE584B"/>
    <w:rsid w:val="00DF1BCB"/>
    <w:rsid w:val="00DF3462"/>
    <w:rsid w:val="00DF4A45"/>
    <w:rsid w:val="00DF4D6C"/>
    <w:rsid w:val="00DF57ED"/>
    <w:rsid w:val="00DF57F6"/>
    <w:rsid w:val="00DF6A98"/>
    <w:rsid w:val="00E03DFC"/>
    <w:rsid w:val="00E054BB"/>
    <w:rsid w:val="00E05876"/>
    <w:rsid w:val="00E05DE6"/>
    <w:rsid w:val="00E06B35"/>
    <w:rsid w:val="00E06CC8"/>
    <w:rsid w:val="00E071CC"/>
    <w:rsid w:val="00E107B3"/>
    <w:rsid w:val="00E10F19"/>
    <w:rsid w:val="00E1181B"/>
    <w:rsid w:val="00E11826"/>
    <w:rsid w:val="00E11AB5"/>
    <w:rsid w:val="00E11E49"/>
    <w:rsid w:val="00E14D21"/>
    <w:rsid w:val="00E15791"/>
    <w:rsid w:val="00E15C28"/>
    <w:rsid w:val="00E17330"/>
    <w:rsid w:val="00E1750C"/>
    <w:rsid w:val="00E200B1"/>
    <w:rsid w:val="00E20CA3"/>
    <w:rsid w:val="00E228EA"/>
    <w:rsid w:val="00E23D18"/>
    <w:rsid w:val="00E240A5"/>
    <w:rsid w:val="00E247F0"/>
    <w:rsid w:val="00E25817"/>
    <w:rsid w:val="00E266D4"/>
    <w:rsid w:val="00E27F56"/>
    <w:rsid w:val="00E300EC"/>
    <w:rsid w:val="00E36F26"/>
    <w:rsid w:val="00E37B70"/>
    <w:rsid w:val="00E4038B"/>
    <w:rsid w:val="00E449A7"/>
    <w:rsid w:val="00E459F7"/>
    <w:rsid w:val="00E45C76"/>
    <w:rsid w:val="00E465EC"/>
    <w:rsid w:val="00E46900"/>
    <w:rsid w:val="00E5153C"/>
    <w:rsid w:val="00E51D5C"/>
    <w:rsid w:val="00E523EB"/>
    <w:rsid w:val="00E530DB"/>
    <w:rsid w:val="00E54499"/>
    <w:rsid w:val="00E57728"/>
    <w:rsid w:val="00E57A7F"/>
    <w:rsid w:val="00E6023C"/>
    <w:rsid w:val="00E602CC"/>
    <w:rsid w:val="00E63CFB"/>
    <w:rsid w:val="00E644E0"/>
    <w:rsid w:val="00E65E72"/>
    <w:rsid w:val="00E66159"/>
    <w:rsid w:val="00E677EB"/>
    <w:rsid w:val="00E679D7"/>
    <w:rsid w:val="00E70AF7"/>
    <w:rsid w:val="00E70F72"/>
    <w:rsid w:val="00E71F55"/>
    <w:rsid w:val="00E72EFB"/>
    <w:rsid w:val="00E77002"/>
    <w:rsid w:val="00E770A3"/>
    <w:rsid w:val="00E77246"/>
    <w:rsid w:val="00E80091"/>
    <w:rsid w:val="00E80344"/>
    <w:rsid w:val="00E80B46"/>
    <w:rsid w:val="00E818AD"/>
    <w:rsid w:val="00E84942"/>
    <w:rsid w:val="00E84974"/>
    <w:rsid w:val="00E85EB4"/>
    <w:rsid w:val="00E86344"/>
    <w:rsid w:val="00E87C4D"/>
    <w:rsid w:val="00E917E6"/>
    <w:rsid w:val="00E91CB8"/>
    <w:rsid w:val="00E936A6"/>
    <w:rsid w:val="00E95B75"/>
    <w:rsid w:val="00E968CB"/>
    <w:rsid w:val="00EA1510"/>
    <w:rsid w:val="00EA499B"/>
    <w:rsid w:val="00EA4F20"/>
    <w:rsid w:val="00EA58BF"/>
    <w:rsid w:val="00EA6050"/>
    <w:rsid w:val="00EA6552"/>
    <w:rsid w:val="00EA73DB"/>
    <w:rsid w:val="00EA77E5"/>
    <w:rsid w:val="00EB0C1A"/>
    <w:rsid w:val="00EB0C2C"/>
    <w:rsid w:val="00EB0E5E"/>
    <w:rsid w:val="00EB119F"/>
    <w:rsid w:val="00EB23AB"/>
    <w:rsid w:val="00EB2B1C"/>
    <w:rsid w:val="00EB4074"/>
    <w:rsid w:val="00EB6D1C"/>
    <w:rsid w:val="00EB7072"/>
    <w:rsid w:val="00EB7C31"/>
    <w:rsid w:val="00EC2B31"/>
    <w:rsid w:val="00EC359E"/>
    <w:rsid w:val="00EC5B6B"/>
    <w:rsid w:val="00EC5BB3"/>
    <w:rsid w:val="00ED1122"/>
    <w:rsid w:val="00ED11C2"/>
    <w:rsid w:val="00ED1498"/>
    <w:rsid w:val="00ED1FF5"/>
    <w:rsid w:val="00ED2770"/>
    <w:rsid w:val="00ED4032"/>
    <w:rsid w:val="00ED4DC8"/>
    <w:rsid w:val="00ED55F8"/>
    <w:rsid w:val="00ED6BB4"/>
    <w:rsid w:val="00EE01E6"/>
    <w:rsid w:val="00EE3505"/>
    <w:rsid w:val="00EE5CB2"/>
    <w:rsid w:val="00EE6E75"/>
    <w:rsid w:val="00EE749F"/>
    <w:rsid w:val="00EE7E2D"/>
    <w:rsid w:val="00EF1E03"/>
    <w:rsid w:val="00EF21EC"/>
    <w:rsid w:val="00EF38B4"/>
    <w:rsid w:val="00EF4C51"/>
    <w:rsid w:val="00EF52F0"/>
    <w:rsid w:val="00EF7D5A"/>
    <w:rsid w:val="00EF7F19"/>
    <w:rsid w:val="00F03617"/>
    <w:rsid w:val="00F043E1"/>
    <w:rsid w:val="00F04AA0"/>
    <w:rsid w:val="00F04EF2"/>
    <w:rsid w:val="00F05110"/>
    <w:rsid w:val="00F05FA7"/>
    <w:rsid w:val="00F06EAB"/>
    <w:rsid w:val="00F0733C"/>
    <w:rsid w:val="00F07EAF"/>
    <w:rsid w:val="00F112EA"/>
    <w:rsid w:val="00F114C9"/>
    <w:rsid w:val="00F11D35"/>
    <w:rsid w:val="00F13519"/>
    <w:rsid w:val="00F136CD"/>
    <w:rsid w:val="00F16C66"/>
    <w:rsid w:val="00F2010B"/>
    <w:rsid w:val="00F201B3"/>
    <w:rsid w:val="00F2061F"/>
    <w:rsid w:val="00F20C89"/>
    <w:rsid w:val="00F225DC"/>
    <w:rsid w:val="00F25C21"/>
    <w:rsid w:val="00F260BB"/>
    <w:rsid w:val="00F2626E"/>
    <w:rsid w:val="00F26B4C"/>
    <w:rsid w:val="00F275C1"/>
    <w:rsid w:val="00F3109F"/>
    <w:rsid w:val="00F31C39"/>
    <w:rsid w:val="00F33581"/>
    <w:rsid w:val="00F34DA5"/>
    <w:rsid w:val="00F34EF1"/>
    <w:rsid w:val="00F35EC8"/>
    <w:rsid w:val="00F36213"/>
    <w:rsid w:val="00F3777C"/>
    <w:rsid w:val="00F377A4"/>
    <w:rsid w:val="00F409AF"/>
    <w:rsid w:val="00F41368"/>
    <w:rsid w:val="00F41834"/>
    <w:rsid w:val="00F41A16"/>
    <w:rsid w:val="00F425F4"/>
    <w:rsid w:val="00F44420"/>
    <w:rsid w:val="00F45CFC"/>
    <w:rsid w:val="00F469BA"/>
    <w:rsid w:val="00F50BFB"/>
    <w:rsid w:val="00F52628"/>
    <w:rsid w:val="00F53BF1"/>
    <w:rsid w:val="00F55FA6"/>
    <w:rsid w:val="00F56462"/>
    <w:rsid w:val="00F5774B"/>
    <w:rsid w:val="00F60480"/>
    <w:rsid w:val="00F62BA6"/>
    <w:rsid w:val="00F635CC"/>
    <w:rsid w:val="00F646CF"/>
    <w:rsid w:val="00F64A08"/>
    <w:rsid w:val="00F64A51"/>
    <w:rsid w:val="00F672B8"/>
    <w:rsid w:val="00F678E0"/>
    <w:rsid w:val="00F703CA"/>
    <w:rsid w:val="00F715E6"/>
    <w:rsid w:val="00F7182B"/>
    <w:rsid w:val="00F71A6D"/>
    <w:rsid w:val="00F7263B"/>
    <w:rsid w:val="00F7292C"/>
    <w:rsid w:val="00F741D6"/>
    <w:rsid w:val="00F76B41"/>
    <w:rsid w:val="00F76B51"/>
    <w:rsid w:val="00F774B6"/>
    <w:rsid w:val="00F7795B"/>
    <w:rsid w:val="00F779CD"/>
    <w:rsid w:val="00F80A6A"/>
    <w:rsid w:val="00F8129F"/>
    <w:rsid w:val="00F82D21"/>
    <w:rsid w:val="00F837B8"/>
    <w:rsid w:val="00F84D96"/>
    <w:rsid w:val="00F85108"/>
    <w:rsid w:val="00F8567C"/>
    <w:rsid w:val="00F85A2E"/>
    <w:rsid w:val="00F86002"/>
    <w:rsid w:val="00F9007D"/>
    <w:rsid w:val="00F91422"/>
    <w:rsid w:val="00F9159D"/>
    <w:rsid w:val="00F9167A"/>
    <w:rsid w:val="00F91D1F"/>
    <w:rsid w:val="00F91DBB"/>
    <w:rsid w:val="00F91E7D"/>
    <w:rsid w:val="00F92EFE"/>
    <w:rsid w:val="00F9344F"/>
    <w:rsid w:val="00F961B9"/>
    <w:rsid w:val="00F97856"/>
    <w:rsid w:val="00FA0367"/>
    <w:rsid w:val="00FA347E"/>
    <w:rsid w:val="00FA3EAA"/>
    <w:rsid w:val="00FA49E5"/>
    <w:rsid w:val="00FA5195"/>
    <w:rsid w:val="00FA7568"/>
    <w:rsid w:val="00FB2B62"/>
    <w:rsid w:val="00FB3398"/>
    <w:rsid w:val="00FB38B9"/>
    <w:rsid w:val="00FB3EF3"/>
    <w:rsid w:val="00FB4FC4"/>
    <w:rsid w:val="00FB50D6"/>
    <w:rsid w:val="00FB665C"/>
    <w:rsid w:val="00FB668B"/>
    <w:rsid w:val="00FB69A4"/>
    <w:rsid w:val="00FC072E"/>
    <w:rsid w:val="00FC16C3"/>
    <w:rsid w:val="00FC22C3"/>
    <w:rsid w:val="00FC368D"/>
    <w:rsid w:val="00FD094D"/>
    <w:rsid w:val="00FD0E97"/>
    <w:rsid w:val="00FD1067"/>
    <w:rsid w:val="00FD1533"/>
    <w:rsid w:val="00FD258F"/>
    <w:rsid w:val="00FD4348"/>
    <w:rsid w:val="00FD5E24"/>
    <w:rsid w:val="00FD69D8"/>
    <w:rsid w:val="00FD7735"/>
    <w:rsid w:val="00FD7D5C"/>
    <w:rsid w:val="00FE0D99"/>
    <w:rsid w:val="00FE1080"/>
    <w:rsid w:val="00FE133D"/>
    <w:rsid w:val="00FE2E92"/>
    <w:rsid w:val="00FE4D17"/>
    <w:rsid w:val="00FE4F73"/>
    <w:rsid w:val="00FE5427"/>
    <w:rsid w:val="00FE63A1"/>
    <w:rsid w:val="00FE6A29"/>
    <w:rsid w:val="00FF23BD"/>
    <w:rsid w:val="00FF2B7F"/>
    <w:rsid w:val="00FF3E47"/>
    <w:rsid w:val="00FF536D"/>
    <w:rsid w:val="00FF623A"/>
    <w:rsid w:val="00FF6240"/>
    <w:rsid w:val="00FF680D"/>
    <w:rsid w:val="00FF680E"/>
    <w:rsid w:val="033575D2"/>
    <w:rsid w:val="045A2047"/>
    <w:rsid w:val="054D6285"/>
    <w:rsid w:val="059067F4"/>
    <w:rsid w:val="0E6B10C2"/>
    <w:rsid w:val="0FA87BB9"/>
    <w:rsid w:val="193667F5"/>
    <w:rsid w:val="1AC13E11"/>
    <w:rsid w:val="1B807468"/>
    <w:rsid w:val="1E1D74CF"/>
    <w:rsid w:val="22E84E3A"/>
    <w:rsid w:val="24187101"/>
    <w:rsid w:val="2475605F"/>
    <w:rsid w:val="28382C3A"/>
    <w:rsid w:val="297C1823"/>
    <w:rsid w:val="29DC433D"/>
    <w:rsid w:val="2DEE0EB9"/>
    <w:rsid w:val="2ECB3AD2"/>
    <w:rsid w:val="2FD93C26"/>
    <w:rsid w:val="2FF745AC"/>
    <w:rsid w:val="35E10098"/>
    <w:rsid w:val="3623352B"/>
    <w:rsid w:val="396F3A83"/>
    <w:rsid w:val="3984743C"/>
    <w:rsid w:val="453827AF"/>
    <w:rsid w:val="47B3762B"/>
    <w:rsid w:val="48194922"/>
    <w:rsid w:val="4836467B"/>
    <w:rsid w:val="49216A17"/>
    <w:rsid w:val="4A104DDA"/>
    <w:rsid w:val="4BCC28C2"/>
    <w:rsid w:val="4BDD1FF5"/>
    <w:rsid w:val="4C87303B"/>
    <w:rsid w:val="4CC462C1"/>
    <w:rsid w:val="4D730EE3"/>
    <w:rsid w:val="50DE50F1"/>
    <w:rsid w:val="525C37D5"/>
    <w:rsid w:val="550F232E"/>
    <w:rsid w:val="56EF1FE3"/>
    <w:rsid w:val="59762DAF"/>
    <w:rsid w:val="59A31EA9"/>
    <w:rsid w:val="5AA664F1"/>
    <w:rsid w:val="5AB67F96"/>
    <w:rsid w:val="5BD8483D"/>
    <w:rsid w:val="5EC93A80"/>
    <w:rsid w:val="5F213DCC"/>
    <w:rsid w:val="5F8C4929"/>
    <w:rsid w:val="62DB7F23"/>
    <w:rsid w:val="636D0703"/>
    <w:rsid w:val="651C0FAE"/>
    <w:rsid w:val="66126DD3"/>
    <w:rsid w:val="68636B44"/>
    <w:rsid w:val="68646F1F"/>
    <w:rsid w:val="6EE252F2"/>
    <w:rsid w:val="710A3346"/>
    <w:rsid w:val="721530FE"/>
    <w:rsid w:val="729F655A"/>
    <w:rsid w:val="75D601D8"/>
    <w:rsid w:val="77FA4C7A"/>
    <w:rsid w:val="79ED5F00"/>
    <w:rsid w:val="7A321FA6"/>
    <w:rsid w:val="7AF313DB"/>
    <w:rsid w:val="7B2F6344"/>
    <w:rsid w:val="7E0B6632"/>
    <w:rsid w:val="7E93358B"/>
    <w:rsid w:val="7F7B80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nhideWhenUsed="0" w:qFormat="1"/>
    <w:lsdException w:name="toc 2" w:unhideWhenUsed="0" w:qFormat="1"/>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unhideWhenUsed="0" w:qFormat="1"/>
    <w:lsdException w:name="header" w:semiHidden="0" w:unhideWhenUsed="0" w:qFormat="1"/>
    <w:lsdException w:name="footer" w:semiHidden="0" w:unhideWhenUsed="0" w:qFormat="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unhideWhenUsed="0" w:qFormat="1"/>
    <w:lsdException w:name="line number" w:locked="1"/>
    <w:lsdException w:name="page number" w:semiHidden="0" w:unhideWhenUsed="0"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1" w:qFormat="1"/>
    <w:lsdException w:name="Body Text" w:locked="1" w:unhideWhenUsed="0" w:qFormat="1"/>
    <w:lsdException w:name="Body Text Indent" w:semiHidden="0" w:unhideWhenUsed="0"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semiHidden="0" w:unhideWhenUsed="0" w:qFormat="1"/>
    <w:lsdException w:name="Body Text First Indent" w:locked="1" w:semiHidden="0" w:unhideWhenUsed="0" w:qFormat="1"/>
    <w:lsdException w:name="Body Text First Indent 2" w:locked="1" w:semiHidden="0" w:unhideWhenUsed="0" w:qFormat="1"/>
    <w:lsdException w:name="Note Heading" w:locked="1"/>
    <w:lsdException w:name="Body Text 2" w:semiHidden="0" w:unhideWhenUsed="0" w:qFormat="1"/>
    <w:lsdException w:name="Body Text 3" w:locked="1"/>
    <w:lsdException w:name="Body Text Indent 2" w:locked="1"/>
    <w:lsdException w:name="Body Text Indent 3" w:locked="1"/>
    <w:lsdException w:name="Block Text" w:locked="1"/>
    <w:lsdException w:name="Hyperlink" w:semiHidden="0" w:unhideWhenUsed="0" w:qFormat="1"/>
    <w:lsdException w:name="FollowedHyperlink" w:locked="1"/>
    <w:lsdException w:name="Strong" w:semiHidden="0" w:unhideWhenUsed="0" w:qFormat="1"/>
    <w:lsdException w:name="Emphasis" w:semiHidden="0" w:uiPriority="0" w:unhideWhenUsed="0" w:qFormat="1"/>
    <w:lsdException w:name="Document Map" w:locked="1"/>
    <w:lsdException w:name="Plain Text" w:semiHidden="0" w:unhideWhenUsed="0" w:qFormat="1"/>
    <w:lsdException w:name="E-mail Signature" w:locked="1"/>
    <w:lsdException w:name="Normal (Web)" w:semiHidden="0" w:unhideWhenUsed="0"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qFormat="1"/>
    <w:lsdException w:name="Table Grid" w:semiHidden="0" w:uiPriority="0"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spacing w:line="357" w:lineRule="atLeast"/>
      <w:jc w:val="both"/>
      <w:textAlignment w:val="baseline"/>
    </w:pPr>
    <w:rPr>
      <w:color w:val="000000"/>
      <w:sz w:val="21"/>
      <w:szCs w:val="21"/>
      <w:u w:color="000000"/>
    </w:rPr>
  </w:style>
  <w:style w:type="paragraph" w:styleId="1">
    <w:name w:val="heading 1"/>
    <w:basedOn w:val="a"/>
    <w:next w:val="a"/>
    <w:link w:val="1Char"/>
    <w:uiPriority w:val="99"/>
    <w:qFormat/>
    <w:pPr>
      <w:keepNext/>
      <w:keepLines/>
      <w:widowControl w:val="0"/>
      <w:spacing w:before="340" w:after="330" w:line="576" w:lineRule="auto"/>
      <w:textAlignment w:val="auto"/>
      <w:outlineLvl w:val="0"/>
    </w:pPr>
    <w:rPr>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Cambria" w:hAnsi="Cambria" w:cs="Cambria"/>
      <w:b/>
      <w:bCs/>
      <w:sz w:val="32"/>
      <w:szCs w:val="32"/>
    </w:rPr>
  </w:style>
  <w:style w:type="paragraph" w:styleId="3">
    <w:name w:val="heading 3"/>
    <w:basedOn w:val="a"/>
    <w:next w:val="a"/>
    <w:link w:val="3Char"/>
    <w:uiPriority w:val="99"/>
    <w:qFormat/>
    <w:pPr>
      <w:keepNext/>
      <w:keepLines/>
      <w:spacing w:before="260" w:after="260" w:line="416" w:lineRule="atLeast"/>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locked/>
    <w:pPr>
      <w:jc w:val="left"/>
    </w:pPr>
  </w:style>
  <w:style w:type="paragraph" w:styleId="a4">
    <w:name w:val="Body Text"/>
    <w:basedOn w:val="a"/>
    <w:link w:val="Char0"/>
    <w:uiPriority w:val="99"/>
    <w:semiHidden/>
    <w:qFormat/>
    <w:locked/>
    <w:pPr>
      <w:spacing w:after="120"/>
    </w:pPr>
  </w:style>
  <w:style w:type="paragraph" w:styleId="a5">
    <w:name w:val="Body Text Indent"/>
    <w:basedOn w:val="a"/>
    <w:link w:val="Char1"/>
    <w:uiPriority w:val="99"/>
    <w:qFormat/>
    <w:pPr>
      <w:widowControl w:val="0"/>
      <w:snapToGrid w:val="0"/>
      <w:spacing w:before="283" w:line="560" w:lineRule="exact"/>
      <w:ind w:firstLine="510"/>
    </w:pPr>
    <w:rPr>
      <w:sz w:val="20"/>
      <w:szCs w:val="20"/>
    </w:rPr>
  </w:style>
  <w:style w:type="paragraph" w:styleId="a6">
    <w:name w:val="Plain Text"/>
    <w:basedOn w:val="a"/>
    <w:link w:val="Char2"/>
    <w:uiPriority w:val="99"/>
    <w:qFormat/>
    <w:pPr>
      <w:widowControl w:val="0"/>
      <w:spacing w:line="240" w:lineRule="auto"/>
      <w:textAlignment w:val="auto"/>
    </w:pPr>
    <w:rPr>
      <w:rFonts w:ascii="宋体" w:hAnsi="Courier New" w:cs="宋体"/>
    </w:rPr>
  </w:style>
  <w:style w:type="paragraph" w:styleId="a7">
    <w:name w:val="Date"/>
    <w:basedOn w:val="a"/>
    <w:next w:val="a"/>
    <w:link w:val="Char3"/>
    <w:uiPriority w:val="99"/>
    <w:qFormat/>
    <w:pPr>
      <w:ind w:leftChars="2500" w:left="100"/>
    </w:pPr>
  </w:style>
  <w:style w:type="paragraph" w:styleId="a8">
    <w:name w:val="Balloon Text"/>
    <w:basedOn w:val="a"/>
    <w:link w:val="Char4"/>
    <w:uiPriority w:val="99"/>
    <w:semiHidden/>
    <w:qFormat/>
    <w:pPr>
      <w:spacing w:line="240" w:lineRule="auto"/>
    </w:pPr>
    <w:rPr>
      <w:sz w:val="18"/>
      <w:szCs w:val="18"/>
    </w:rPr>
  </w:style>
  <w:style w:type="paragraph" w:styleId="a9">
    <w:name w:val="footer"/>
    <w:basedOn w:val="a"/>
    <w:link w:val="Char5"/>
    <w:uiPriority w:val="99"/>
    <w:qFormat/>
    <w:pPr>
      <w:tabs>
        <w:tab w:val="center" w:pos="4153"/>
        <w:tab w:val="right" w:pos="8306"/>
      </w:tabs>
      <w:snapToGrid w:val="0"/>
      <w:spacing w:line="240" w:lineRule="atLeast"/>
      <w:jc w:val="left"/>
    </w:pPr>
    <w:rPr>
      <w:sz w:val="18"/>
      <w:szCs w:val="18"/>
    </w:rPr>
  </w:style>
  <w:style w:type="paragraph" w:styleId="aa">
    <w:name w:val="header"/>
    <w:basedOn w:val="a"/>
    <w:link w:val="Char6"/>
    <w:uiPriority w:val="99"/>
    <w:qFormat/>
    <w:pPr>
      <w:pBdr>
        <w:bottom w:val="single" w:sz="6" w:space="1" w:color="auto"/>
      </w:pBdr>
      <w:tabs>
        <w:tab w:val="center" w:pos="4153"/>
        <w:tab w:val="right" w:pos="8306"/>
      </w:tabs>
      <w:snapToGrid w:val="0"/>
      <w:spacing w:line="240" w:lineRule="atLeast"/>
      <w:jc w:val="center"/>
    </w:pPr>
    <w:rPr>
      <w:sz w:val="18"/>
      <w:szCs w:val="18"/>
    </w:rPr>
  </w:style>
  <w:style w:type="paragraph" w:styleId="10">
    <w:name w:val="toc 1"/>
    <w:basedOn w:val="a"/>
    <w:next w:val="a"/>
    <w:uiPriority w:val="99"/>
    <w:semiHidden/>
    <w:qFormat/>
  </w:style>
  <w:style w:type="paragraph" w:styleId="20">
    <w:name w:val="toc 2"/>
    <w:basedOn w:val="a"/>
    <w:next w:val="a"/>
    <w:uiPriority w:val="99"/>
    <w:semiHidden/>
    <w:qFormat/>
    <w:pPr>
      <w:ind w:leftChars="200" w:left="420"/>
    </w:pPr>
  </w:style>
  <w:style w:type="paragraph" w:styleId="21">
    <w:name w:val="Body Text 2"/>
    <w:basedOn w:val="a"/>
    <w:link w:val="2Char0"/>
    <w:uiPriority w:val="99"/>
    <w:qFormat/>
    <w:pPr>
      <w:spacing w:after="120" w:line="480" w:lineRule="auto"/>
    </w:pPr>
    <w:rPr>
      <w:sz w:val="20"/>
      <w:szCs w:val="20"/>
    </w:rPr>
  </w:style>
  <w:style w:type="paragraph" w:styleId="ab">
    <w:name w:val="Normal (Web)"/>
    <w:basedOn w:val="a"/>
    <w:uiPriority w:val="99"/>
    <w:qFormat/>
    <w:pPr>
      <w:spacing w:before="100" w:beforeAutospacing="1" w:after="100" w:afterAutospacing="1" w:line="240" w:lineRule="auto"/>
      <w:jc w:val="left"/>
      <w:textAlignment w:val="auto"/>
    </w:pPr>
    <w:rPr>
      <w:rFonts w:ascii="宋体" w:hAnsi="宋体" w:cs="宋体"/>
      <w:sz w:val="24"/>
      <w:szCs w:val="24"/>
    </w:rPr>
  </w:style>
  <w:style w:type="paragraph" w:styleId="ac">
    <w:name w:val="annotation subject"/>
    <w:basedOn w:val="a3"/>
    <w:next w:val="a3"/>
    <w:link w:val="Char7"/>
    <w:uiPriority w:val="99"/>
    <w:semiHidden/>
    <w:qFormat/>
    <w:locked/>
    <w:rPr>
      <w:b/>
      <w:bCs/>
    </w:rPr>
  </w:style>
  <w:style w:type="paragraph" w:styleId="ad">
    <w:name w:val="Body Text First Indent"/>
    <w:basedOn w:val="a4"/>
    <w:next w:val="22"/>
    <w:link w:val="Char8"/>
    <w:uiPriority w:val="99"/>
    <w:qFormat/>
    <w:locked/>
    <w:pPr>
      <w:ind w:firstLineChars="100" w:firstLine="420"/>
    </w:pPr>
  </w:style>
  <w:style w:type="paragraph" w:styleId="22">
    <w:name w:val="Body Text First Indent 2"/>
    <w:basedOn w:val="a5"/>
    <w:link w:val="2Char1"/>
    <w:uiPriority w:val="99"/>
    <w:qFormat/>
    <w:locked/>
    <w:pPr>
      <w:widowControl/>
      <w:snapToGrid/>
      <w:spacing w:before="0" w:after="120" w:line="357" w:lineRule="atLeast"/>
      <w:ind w:leftChars="200" w:left="420" w:firstLineChars="200" w:firstLine="420"/>
    </w:pPr>
    <w:rPr>
      <w:sz w:val="21"/>
      <w:szCs w:val="21"/>
    </w:rPr>
  </w:style>
  <w:style w:type="table" w:styleId="ae">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basedOn w:val="a0"/>
    <w:uiPriority w:val="99"/>
    <w:qFormat/>
    <w:rPr>
      <w:b/>
      <w:bCs/>
    </w:rPr>
  </w:style>
  <w:style w:type="character" w:styleId="af0">
    <w:name w:val="page number"/>
    <w:basedOn w:val="a0"/>
    <w:uiPriority w:val="99"/>
    <w:qFormat/>
  </w:style>
  <w:style w:type="character" w:styleId="af1">
    <w:name w:val="Hyperlink"/>
    <w:basedOn w:val="a0"/>
    <w:uiPriority w:val="99"/>
    <w:qFormat/>
    <w:rPr>
      <w:color w:val="0368A8"/>
      <w:u w:val="none"/>
    </w:rPr>
  </w:style>
  <w:style w:type="character" w:styleId="af2">
    <w:name w:val="annotation reference"/>
    <w:basedOn w:val="a0"/>
    <w:uiPriority w:val="99"/>
    <w:semiHidden/>
    <w:qFormat/>
    <w:locked/>
    <w:rPr>
      <w:sz w:val="21"/>
      <w:szCs w:val="21"/>
    </w:rPr>
  </w:style>
  <w:style w:type="character" w:customStyle="1" w:styleId="1Char">
    <w:name w:val="标题 1 Char"/>
    <w:basedOn w:val="a0"/>
    <w:link w:val="1"/>
    <w:uiPriority w:val="99"/>
    <w:qFormat/>
    <w:locked/>
    <w:rPr>
      <w:b/>
      <w:bCs/>
      <w:color w:val="000000"/>
      <w:kern w:val="44"/>
      <w:sz w:val="44"/>
      <w:szCs w:val="44"/>
      <w:u w:val="none" w:color="000000"/>
    </w:rPr>
  </w:style>
  <w:style w:type="character" w:customStyle="1" w:styleId="2Char">
    <w:name w:val="标题 2 Char"/>
    <w:basedOn w:val="a0"/>
    <w:link w:val="2"/>
    <w:uiPriority w:val="99"/>
    <w:semiHidden/>
    <w:qFormat/>
    <w:locked/>
    <w:rPr>
      <w:rFonts w:ascii="Cambria" w:eastAsia="宋体" w:hAnsi="Cambria" w:cs="Cambria"/>
      <w:b/>
      <w:bCs/>
      <w:color w:val="000000"/>
      <w:kern w:val="0"/>
      <w:sz w:val="32"/>
      <w:szCs w:val="32"/>
      <w:u w:color="000000"/>
    </w:rPr>
  </w:style>
  <w:style w:type="character" w:customStyle="1" w:styleId="3Char">
    <w:name w:val="标题 3 Char"/>
    <w:basedOn w:val="a0"/>
    <w:link w:val="3"/>
    <w:uiPriority w:val="99"/>
    <w:semiHidden/>
    <w:qFormat/>
    <w:locked/>
    <w:rPr>
      <w:b/>
      <w:bCs/>
      <w:color w:val="000000"/>
      <w:sz w:val="32"/>
      <w:szCs w:val="32"/>
      <w:u w:val="none" w:color="000000"/>
    </w:rPr>
  </w:style>
  <w:style w:type="character" w:customStyle="1" w:styleId="Char">
    <w:name w:val="批注文字 Char"/>
    <w:basedOn w:val="a0"/>
    <w:link w:val="a3"/>
    <w:uiPriority w:val="99"/>
    <w:semiHidden/>
    <w:qFormat/>
    <w:locked/>
    <w:rPr>
      <w:color w:val="000000"/>
      <w:sz w:val="21"/>
      <w:szCs w:val="21"/>
      <w:u w:color="000000"/>
    </w:rPr>
  </w:style>
  <w:style w:type="character" w:customStyle="1" w:styleId="Char0">
    <w:name w:val="正文文本 Char"/>
    <w:basedOn w:val="a0"/>
    <w:link w:val="a4"/>
    <w:uiPriority w:val="99"/>
    <w:semiHidden/>
    <w:qFormat/>
    <w:locked/>
    <w:rPr>
      <w:color w:val="000000"/>
      <w:sz w:val="21"/>
      <w:szCs w:val="21"/>
      <w:u w:color="000000"/>
    </w:rPr>
  </w:style>
  <w:style w:type="character" w:customStyle="1" w:styleId="Char1">
    <w:name w:val="正文文本缩进 Char"/>
    <w:basedOn w:val="a0"/>
    <w:link w:val="a5"/>
    <w:uiPriority w:val="99"/>
    <w:semiHidden/>
    <w:qFormat/>
    <w:locked/>
    <w:rPr>
      <w:color w:val="000000"/>
      <w:kern w:val="0"/>
      <w:sz w:val="20"/>
      <w:szCs w:val="20"/>
      <w:u w:val="none" w:color="000000"/>
    </w:rPr>
  </w:style>
  <w:style w:type="character" w:customStyle="1" w:styleId="PlainTextChar">
    <w:name w:val="Plain Text Char"/>
    <w:basedOn w:val="a0"/>
    <w:uiPriority w:val="99"/>
    <w:qFormat/>
    <w:locked/>
    <w:rPr>
      <w:rFonts w:ascii="宋体" w:eastAsia="宋体" w:hAnsi="Courier New" w:cs="宋体"/>
      <w:kern w:val="2"/>
      <w:sz w:val="21"/>
      <w:szCs w:val="21"/>
      <w:lang w:val="en-US" w:eastAsia="zh-CN"/>
    </w:rPr>
  </w:style>
  <w:style w:type="character" w:customStyle="1" w:styleId="Char3">
    <w:name w:val="日期 Char"/>
    <w:basedOn w:val="a0"/>
    <w:link w:val="a7"/>
    <w:uiPriority w:val="99"/>
    <w:qFormat/>
    <w:locked/>
    <w:rPr>
      <w:color w:val="000000"/>
      <w:sz w:val="21"/>
      <w:szCs w:val="21"/>
      <w:u w:val="none" w:color="000000"/>
    </w:rPr>
  </w:style>
  <w:style w:type="character" w:customStyle="1" w:styleId="Char4">
    <w:name w:val="批注框文本 Char"/>
    <w:basedOn w:val="a0"/>
    <w:link w:val="a8"/>
    <w:uiPriority w:val="99"/>
    <w:qFormat/>
    <w:locked/>
    <w:rPr>
      <w:color w:val="000000"/>
      <w:sz w:val="18"/>
      <w:szCs w:val="18"/>
      <w:u w:val="none" w:color="000000"/>
    </w:rPr>
  </w:style>
  <w:style w:type="character" w:customStyle="1" w:styleId="Char5">
    <w:name w:val="页脚 Char"/>
    <w:basedOn w:val="a0"/>
    <w:link w:val="a9"/>
    <w:uiPriority w:val="99"/>
    <w:qFormat/>
    <w:locked/>
    <w:rPr>
      <w:color w:val="000000"/>
      <w:kern w:val="0"/>
      <w:sz w:val="18"/>
      <w:szCs w:val="18"/>
      <w:u w:val="none" w:color="000000"/>
    </w:rPr>
  </w:style>
  <w:style w:type="character" w:customStyle="1" w:styleId="Char6">
    <w:name w:val="页眉 Char"/>
    <w:basedOn w:val="a0"/>
    <w:link w:val="aa"/>
    <w:uiPriority w:val="99"/>
    <w:semiHidden/>
    <w:qFormat/>
    <w:locked/>
    <w:rPr>
      <w:color w:val="000000"/>
      <w:kern w:val="0"/>
      <w:sz w:val="18"/>
      <w:szCs w:val="18"/>
      <w:u w:val="none" w:color="000000"/>
    </w:rPr>
  </w:style>
  <w:style w:type="character" w:customStyle="1" w:styleId="2Char0">
    <w:name w:val="正文文本 2 Char"/>
    <w:basedOn w:val="a0"/>
    <w:link w:val="21"/>
    <w:uiPriority w:val="99"/>
    <w:semiHidden/>
    <w:qFormat/>
    <w:locked/>
    <w:rPr>
      <w:color w:val="000000"/>
      <w:kern w:val="0"/>
      <w:sz w:val="20"/>
      <w:szCs w:val="20"/>
      <w:u w:val="none" w:color="000000"/>
    </w:rPr>
  </w:style>
  <w:style w:type="character" w:customStyle="1" w:styleId="Char7">
    <w:name w:val="批注主题 Char"/>
    <w:basedOn w:val="Char"/>
    <w:link w:val="ac"/>
    <w:uiPriority w:val="99"/>
    <w:semiHidden/>
    <w:qFormat/>
    <w:locked/>
    <w:rPr>
      <w:b/>
      <w:bCs/>
      <w:color w:val="000000"/>
      <w:sz w:val="21"/>
      <w:szCs w:val="21"/>
      <w:u w:color="000000"/>
    </w:rPr>
  </w:style>
  <w:style w:type="character" w:customStyle="1" w:styleId="Char8">
    <w:name w:val="正文首行缩进 Char"/>
    <w:basedOn w:val="Char0"/>
    <w:link w:val="ad"/>
    <w:uiPriority w:val="99"/>
    <w:semiHidden/>
    <w:qFormat/>
    <w:locked/>
    <w:rPr>
      <w:color w:val="000000"/>
      <w:sz w:val="21"/>
      <w:szCs w:val="21"/>
      <w:u w:color="000000"/>
    </w:rPr>
  </w:style>
  <w:style w:type="character" w:customStyle="1" w:styleId="2Char1">
    <w:name w:val="正文首行缩进 2 Char"/>
    <w:basedOn w:val="Char1"/>
    <w:link w:val="22"/>
    <w:uiPriority w:val="99"/>
    <w:semiHidden/>
    <w:qFormat/>
    <w:locked/>
    <w:rPr>
      <w:color w:val="000000"/>
      <w:kern w:val="0"/>
      <w:sz w:val="21"/>
      <w:szCs w:val="21"/>
      <w:u w:val="none" w:color="000000"/>
    </w:rPr>
  </w:style>
  <w:style w:type="paragraph" w:customStyle="1" w:styleId="11">
    <w:name w:val="目录1"/>
    <w:basedOn w:val="a"/>
    <w:next w:val="a"/>
    <w:uiPriority w:val="99"/>
    <w:qFormat/>
    <w:pPr>
      <w:tabs>
        <w:tab w:val="left" w:leader="dot" w:pos="8503"/>
      </w:tabs>
      <w:spacing w:after="136" w:line="289" w:lineRule="atLeast"/>
      <w:jc w:val="left"/>
    </w:pPr>
    <w:rPr>
      <w:rFonts w:ascii="Arial" w:eastAsia="黑体" w:cs="Arial"/>
      <w:sz w:val="28"/>
      <w:szCs w:val="28"/>
    </w:rPr>
  </w:style>
  <w:style w:type="paragraph" w:customStyle="1" w:styleId="af3">
    <w:name w:val="章标题"/>
    <w:basedOn w:val="a"/>
    <w:next w:val="af4"/>
    <w:uiPriority w:val="99"/>
    <w:qFormat/>
    <w:pPr>
      <w:spacing w:before="158" w:after="153" w:line="323" w:lineRule="atLeast"/>
      <w:jc w:val="center"/>
    </w:pPr>
    <w:rPr>
      <w:rFonts w:ascii="Arial" w:eastAsia="黑体" w:cs="Arial"/>
      <w:sz w:val="31"/>
      <w:szCs w:val="31"/>
    </w:rPr>
  </w:style>
  <w:style w:type="paragraph" w:customStyle="1" w:styleId="af4">
    <w:name w:val="节标题"/>
    <w:basedOn w:val="a"/>
    <w:next w:val="af5"/>
    <w:uiPriority w:val="99"/>
    <w:qFormat/>
    <w:pPr>
      <w:spacing w:line="289" w:lineRule="atLeast"/>
      <w:jc w:val="center"/>
    </w:pPr>
    <w:rPr>
      <w:sz w:val="28"/>
      <w:szCs w:val="28"/>
    </w:rPr>
  </w:style>
  <w:style w:type="paragraph" w:customStyle="1" w:styleId="af5">
    <w:name w:val="小节标题"/>
    <w:basedOn w:val="a"/>
    <w:next w:val="a"/>
    <w:uiPriority w:val="99"/>
    <w:qFormat/>
    <w:pPr>
      <w:spacing w:before="175" w:after="102" w:line="351" w:lineRule="atLeast"/>
    </w:pPr>
    <w:rPr>
      <w:rFonts w:eastAsia="黑体"/>
    </w:rPr>
  </w:style>
  <w:style w:type="paragraph" w:customStyle="1" w:styleId="23">
    <w:name w:val="目录2"/>
    <w:basedOn w:val="a"/>
    <w:next w:val="a"/>
    <w:uiPriority w:val="99"/>
    <w:qFormat/>
    <w:pPr>
      <w:tabs>
        <w:tab w:val="left" w:leader="dot" w:pos="8503"/>
      </w:tabs>
      <w:spacing w:line="317" w:lineRule="atLeast"/>
      <w:ind w:firstLine="209"/>
    </w:pPr>
  </w:style>
  <w:style w:type="paragraph" w:customStyle="1" w:styleId="4">
    <w:name w:val="目录4"/>
    <w:basedOn w:val="a"/>
    <w:next w:val="a"/>
    <w:uiPriority w:val="99"/>
    <w:qFormat/>
    <w:pPr>
      <w:tabs>
        <w:tab w:val="left" w:leader="dot" w:pos="8503"/>
      </w:tabs>
      <w:spacing w:line="317" w:lineRule="atLeast"/>
      <w:ind w:firstLine="629"/>
    </w:pPr>
  </w:style>
  <w:style w:type="paragraph" w:customStyle="1" w:styleId="1CharCharCharChar">
    <w:name w:val="1 Char Char Char Char"/>
    <w:basedOn w:val="a"/>
    <w:uiPriority w:val="99"/>
    <w:qFormat/>
    <w:pPr>
      <w:widowControl w:val="0"/>
      <w:spacing w:line="240" w:lineRule="auto"/>
      <w:textAlignment w:val="auto"/>
    </w:pPr>
    <w:rPr>
      <w:rFonts w:ascii="Tahoma" w:hAnsi="Tahoma" w:cs="Tahoma"/>
      <w:color w:val="auto"/>
      <w:kern w:val="2"/>
      <w:sz w:val="24"/>
      <w:szCs w:val="24"/>
    </w:rPr>
  </w:style>
  <w:style w:type="paragraph" w:customStyle="1" w:styleId="CharCharChar">
    <w:name w:val="Char Char Char"/>
    <w:basedOn w:val="a"/>
    <w:uiPriority w:val="99"/>
    <w:qFormat/>
    <w:pPr>
      <w:widowControl w:val="0"/>
      <w:spacing w:line="240" w:lineRule="auto"/>
      <w:textAlignment w:val="auto"/>
    </w:pPr>
    <w:rPr>
      <w:rFonts w:ascii="Tahoma" w:hAnsi="Tahoma" w:cs="Tahoma"/>
      <w:color w:val="auto"/>
      <w:kern w:val="2"/>
      <w:sz w:val="24"/>
      <w:szCs w:val="24"/>
    </w:rPr>
  </w:style>
  <w:style w:type="paragraph" w:customStyle="1" w:styleId="30">
    <w:name w:val="目录3"/>
    <w:basedOn w:val="a"/>
    <w:next w:val="a"/>
    <w:uiPriority w:val="99"/>
    <w:qFormat/>
    <w:pPr>
      <w:tabs>
        <w:tab w:val="left" w:leader="dot" w:pos="8503"/>
      </w:tabs>
      <w:spacing w:line="317" w:lineRule="atLeast"/>
      <w:ind w:firstLine="419"/>
    </w:pPr>
  </w:style>
  <w:style w:type="paragraph" w:customStyle="1" w:styleId="af6">
    <w:name w:val="目录标题"/>
    <w:basedOn w:val="a"/>
    <w:next w:val="a"/>
    <w:uiPriority w:val="99"/>
    <w:qFormat/>
    <w:pPr>
      <w:spacing w:before="566" w:after="544" w:line="566" w:lineRule="atLeast"/>
      <w:ind w:firstLine="419"/>
      <w:jc w:val="center"/>
    </w:pPr>
    <w:rPr>
      <w:rFonts w:ascii="Arial" w:eastAsia="黑体" w:cs="Arial"/>
      <w:spacing w:val="566"/>
      <w:sz w:val="54"/>
      <w:szCs w:val="54"/>
    </w:rPr>
  </w:style>
  <w:style w:type="paragraph" w:customStyle="1" w:styleId="af7">
    <w:name w:val="文章总标题"/>
    <w:basedOn w:val="a"/>
    <w:next w:val="af8"/>
    <w:uiPriority w:val="99"/>
    <w:qFormat/>
    <w:pPr>
      <w:spacing w:before="566" w:after="544" w:line="566" w:lineRule="atLeast"/>
      <w:jc w:val="center"/>
    </w:pPr>
    <w:rPr>
      <w:rFonts w:ascii="Arial" w:eastAsia="黑体" w:cs="Arial"/>
      <w:sz w:val="54"/>
      <w:szCs w:val="54"/>
    </w:rPr>
  </w:style>
  <w:style w:type="paragraph" w:customStyle="1" w:styleId="af8">
    <w:name w:val="文章附标题"/>
    <w:basedOn w:val="a"/>
    <w:next w:val="af3"/>
    <w:uiPriority w:val="99"/>
    <w:qFormat/>
    <w:pPr>
      <w:spacing w:before="187" w:after="175" w:line="374" w:lineRule="atLeast"/>
      <w:jc w:val="center"/>
    </w:pPr>
    <w:rPr>
      <w:sz w:val="36"/>
      <w:szCs w:val="36"/>
    </w:rPr>
  </w:style>
  <w:style w:type="paragraph" w:customStyle="1" w:styleId="Char10">
    <w:name w:val="Char1"/>
    <w:basedOn w:val="a"/>
    <w:uiPriority w:val="99"/>
    <w:qFormat/>
    <w:pPr>
      <w:widowControl w:val="0"/>
      <w:spacing w:line="240" w:lineRule="auto"/>
      <w:textAlignment w:val="auto"/>
    </w:pPr>
    <w:rPr>
      <w:rFonts w:ascii="Tahoma" w:hAnsi="Tahoma" w:cs="Tahoma"/>
      <w:color w:val="auto"/>
      <w:kern w:val="2"/>
      <w:sz w:val="24"/>
      <w:szCs w:val="24"/>
    </w:rPr>
  </w:style>
  <w:style w:type="paragraph" w:customStyle="1" w:styleId="Char11">
    <w:name w:val="Char11"/>
    <w:basedOn w:val="a"/>
    <w:uiPriority w:val="99"/>
    <w:qFormat/>
    <w:pPr>
      <w:widowControl w:val="0"/>
      <w:spacing w:line="240" w:lineRule="auto"/>
      <w:textAlignment w:val="auto"/>
    </w:pPr>
    <w:rPr>
      <w:rFonts w:ascii="Tahoma" w:hAnsi="Tahoma" w:cs="Tahoma"/>
      <w:color w:val="auto"/>
      <w:kern w:val="2"/>
      <w:sz w:val="24"/>
      <w:szCs w:val="24"/>
    </w:rPr>
  </w:style>
  <w:style w:type="paragraph" w:customStyle="1" w:styleId="CharCharCharCharCharCharChar">
    <w:name w:val="Char Char Char Char Char Char Char"/>
    <w:basedOn w:val="a"/>
    <w:uiPriority w:val="99"/>
    <w:qFormat/>
    <w:pPr>
      <w:widowControl w:val="0"/>
      <w:spacing w:line="240" w:lineRule="auto"/>
      <w:textAlignment w:val="auto"/>
    </w:pPr>
    <w:rPr>
      <w:rFonts w:ascii="Tahoma" w:hAnsi="Tahoma" w:cs="Tahoma"/>
      <w:color w:val="auto"/>
      <w:kern w:val="2"/>
      <w:sz w:val="24"/>
      <w:szCs w:val="24"/>
    </w:rPr>
  </w:style>
  <w:style w:type="paragraph" w:customStyle="1" w:styleId="WPSPlain">
    <w:name w:val="WPS Plain"/>
    <w:uiPriority w:val="99"/>
    <w:qFormat/>
  </w:style>
  <w:style w:type="paragraph" w:customStyle="1" w:styleId="cjk">
    <w:name w:val="cjk"/>
    <w:basedOn w:val="a"/>
    <w:uiPriority w:val="99"/>
    <w:qFormat/>
    <w:pPr>
      <w:spacing w:before="100" w:beforeAutospacing="1" w:after="100" w:afterAutospacing="1" w:line="240" w:lineRule="auto"/>
      <w:jc w:val="left"/>
      <w:textAlignment w:val="auto"/>
    </w:pPr>
    <w:rPr>
      <w:rFonts w:ascii="宋体" w:hAnsi="宋体" w:cs="宋体"/>
      <w:color w:val="auto"/>
      <w:sz w:val="18"/>
      <w:szCs w:val="18"/>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paragraph" w:customStyle="1" w:styleId="TOCHeading1">
    <w:name w:val="TOC Heading1"/>
    <w:basedOn w:val="1"/>
    <w:next w:val="a"/>
    <w:uiPriority w:val="99"/>
    <w:qFormat/>
    <w:pPr>
      <w:widowControl/>
      <w:spacing w:before="480" w:after="0" w:line="276" w:lineRule="auto"/>
      <w:jc w:val="left"/>
      <w:outlineLvl w:val="9"/>
    </w:pPr>
    <w:rPr>
      <w:rFonts w:ascii="Cambria" w:hAnsi="Cambria" w:cs="Cambria"/>
      <w:color w:val="365F91"/>
      <w:kern w:val="0"/>
      <w:sz w:val="28"/>
      <w:szCs w:val="28"/>
    </w:rPr>
  </w:style>
  <w:style w:type="paragraph" w:customStyle="1" w:styleId="ListParagraph1">
    <w:name w:val="List Paragraph1"/>
    <w:basedOn w:val="a"/>
    <w:uiPriority w:val="99"/>
    <w:qFormat/>
    <w:pPr>
      <w:ind w:firstLineChars="200" w:firstLine="420"/>
    </w:pPr>
  </w:style>
  <w:style w:type="character" w:customStyle="1" w:styleId="af9">
    <w:name w:val="链接"/>
    <w:uiPriority w:val="99"/>
    <w:qFormat/>
    <w:rPr>
      <w:rFonts w:ascii="Times New Roman" w:eastAsia="宋体" w:cs="Times New Roman"/>
      <w:color w:val="0000FF"/>
      <w:sz w:val="21"/>
      <w:szCs w:val="21"/>
      <w:u w:val="single" w:color="0000FF"/>
      <w:lang w:val="en-US" w:eastAsia="zh-CN"/>
    </w:rPr>
  </w:style>
  <w:style w:type="character" w:customStyle="1" w:styleId="afa">
    <w:name w:val="超级链接"/>
    <w:uiPriority w:val="99"/>
    <w:qFormat/>
    <w:rPr>
      <w:rFonts w:ascii="Times New Roman" w:eastAsia="宋体" w:cs="Times New Roman"/>
      <w:color w:val="0000FF"/>
      <w:sz w:val="21"/>
      <w:szCs w:val="21"/>
      <w:u w:val="single" w:color="0000FF"/>
      <w:lang w:val="en-US" w:eastAsia="zh-CN"/>
    </w:rPr>
  </w:style>
  <w:style w:type="character" w:customStyle="1" w:styleId="paramtd12">
    <w:name w:val="param_td12"/>
    <w:uiPriority w:val="99"/>
    <w:qFormat/>
  </w:style>
  <w:style w:type="character" w:customStyle="1" w:styleId="Char2">
    <w:name w:val="纯文本 Char"/>
    <w:link w:val="a6"/>
    <w:uiPriority w:val="99"/>
    <w:semiHidden/>
    <w:qFormat/>
    <w:locked/>
    <w:rPr>
      <w:rFonts w:ascii="宋体" w:hAnsi="Courier New" w:cs="宋体"/>
      <w:color w:val="000000"/>
      <w:kern w:val="0"/>
      <w:sz w:val="21"/>
      <w:szCs w:val="21"/>
      <w:u w:val="none" w:color="000000"/>
    </w:rPr>
  </w:style>
  <w:style w:type="character" w:customStyle="1" w:styleId="CharChar">
    <w:name w:val="纯文本 Char Char"/>
    <w:uiPriority w:val="99"/>
    <w:qFormat/>
    <w:rPr>
      <w:rFonts w:ascii="宋体" w:eastAsia="宋体" w:hAnsi="Courier New" w:cs="宋体"/>
      <w:kern w:val="2"/>
      <w:sz w:val="21"/>
      <w:szCs w:val="21"/>
      <w:lang w:val="en-US" w:eastAsia="zh-CN"/>
    </w:rPr>
  </w:style>
  <w:style w:type="character" w:customStyle="1" w:styleId="CharChar4">
    <w:name w:val="Char Char4"/>
    <w:uiPriority w:val="99"/>
    <w:qFormat/>
    <w:rPr>
      <w:rFonts w:ascii="宋体" w:eastAsia="宋体" w:cs="宋体"/>
      <w:kern w:val="2"/>
      <w:sz w:val="28"/>
      <w:szCs w:val="28"/>
    </w:rPr>
  </w:style>
  <w:style w:type="character" w:customStyle="1" w:styleId="Char12">
    <w:name w:val="纯文本 Char1"/>
    <w:uiPriority w:val="99"/>
    <w:qFormat/>
    <w:locked/>
    <w:rPr>
      <w:rFonts w:ascii="宋体" w:hAnsi="Courier New" w:cs="宋体"/>
      <w:kern w:val="2"/>
      <w:sz w:val="21"/>
      <w:szCs w:val="21"/>
      <w:u w:color="000000"/>
    </w:rPr>
  </w:style>
  <w:style w:type="character" w:customStyle="1" w:styleId="15">
    <w:name w:val="15"/>
    <w:basedOn w:val="a0"/>
    <w:uiPriority w:val="99"/>
    <w:qFormat/>
  </w:style>
  <w:style w:type="character" w:customStyle="1" w:styleId="0Char">
    <w:name w:val="样式 首行缩进:  0 字符 Char"/>
    <w:link w:val="0"/>
    <w:uiPriority w:val="99"/>
    <w:qFormat/>
    <w:locked/>
    <w:rPr>
      <w:sz w:val="24"/>
      <w:szCs w:val="24"/>
    </w:rPr>
  </w:style>
  <w:style w:type="paragraph" w:customStyle="1" w:styleId="0">
    <w:name w:val="样式 首行缩进:  0 字符"/>
    <w:basedOn w:val="a"/>
    <w:link w:val="0Char"/>
    <w:uiPriority w:val="99"/>
    <w:qFormat/>
    <w:pPr>
      <w:widowControl w:val="0"/>
      <w:spacing w:line="360" w:lineRule="auto"/>
      <w:ind w:firstLineChars="200" w:firstLine="200"/>
      <w:textAlignment w:val="auto"/>
    </w:pPr>
    <w:rPr>
      <w:color w:val="auto"/>
      <w:sz w:val="24"/>
      <w:szCs w:val="24"/>
    </w:rPr>
  </w:style>
  <w:style w:type="paragraph" w:customStyle="1" w:styleId="24">
    <w:name w:val="正文文本 (2)"/>
    <w:basedOn w:val="a"/>
    <w:link w:val="25"/>
    <w:uiPriority w:val="99"/>
    <w:qFormat/>
    <w:pPr>
      <w:widowControl w:val="0"/>
      <w:shd w:val="clear" w:color="auto" w:fill="FFFFFF"/>
      <w:spacing w:after="660" w:line="240" w:lineRule="atLeast"/>
      <w:jc w:val="left"/>
      <w:textAlignment w:val="auto"/>
    </w:pPr>
    <w:rPr>
      <w:rFonts w:ascii="MingLiU" w:eastAsia="MingLiU" w:hAnsi="MingLiU" w:cs="MingLiU"/>
      <w:color w:val="auto"/>
      <w:spacing w:val="30"/>
      <w:sz w:val="30"/>
      <w:szCs w:val="30"/>
    </w:rPr>
  </w:style>
  <w:style w:type="character" w:customStyle="1" w:styleId="26">
    <w:name w:val="正文文本 (2) + 斜体"/>
    <w:uiPriority w:val="99"/>
    <w:qFormat/>
    <w:rPr>
      <w:rFonts w:ascii="MingLiU" w:eastAsia="MingLiU" w:hAnsi="MingLiU" w:cs="MingLiU"/>
      <w:i/>
      <w:iCs/>
      <w:color w:val="000000"/>
      <w:spacing w:val="0"/>
      <w:w w:val="100"/>
      <w:position w:val="0"/>
      <w:sz w:val="30"/>
      <w:szCs w:val="30"/>
      <w:u w:val="none"/>
      <w:lang w:val="zh-CN" w:eastAsia="zh-CN"/>
    </w:rPr>
  </w:style>
  <w:style w:type="character" w:customStyle="1" w:styleId="Calibri">
    <w:name w:val="页眉或页脚 + Calibri"/>
    <w:uiPriority w:val="99"/>
    <w:qFormat/>
    <w:rPr>
      <w:rFonts w:ascii="Calibri" w:hAnsi="Calibri" w:cs="Calibri"/>
      <w:color w:val="000000"/>
      <w:spacing w:val="0"/>
      <w:w w:val="100"/>
      <w:position w:val="0"/>
      <w:sz w:val="20"/>
      <w:szCs w:val="20"/>
      <w:u w:val="none"/>
      <w:lang w:val="zh-CN" w:eastAsia="zh-CN"/>
    </w:rPr>
  </w:style>
  <w:style w:type="character" w:customStyle="1" w:styleId="afb">
    <w:name w:val="页眉或页脚"/>
    <w:uiPriority w:val="99"/>
    <w:qFormat/>
    <w:rPr>
      <w:rFonts w:ascii="MingLiU" w:eastAsia="MingLiU" w:hAnsi="MingLiU" w:cs="MingLiU"/>
      <w:color w:val="000000"/>
      <w:spacing w:val="0"/>
      <w:w w:val="100"/>
      <w:position w:val="0"/>
      <w:sz w:val="18"/>
      <w:szCs w:val="18"/>
      <w:u w:val="none"/>
      <w:lang w:val="zh-CN" w:eastAsia="zh-CN"/>
    </w:rPr>
  </w:style>
  <w:style w:type="character" w:customStyle="1" w:styleId="25">
    <w:name w:val="正文文本 (2)_"/>
    <w:link w:val="24"/>
    <w:uiPriority w:val="99"/>
    <w:qFormat/>
    <w:locked/>
    <w:rPr>
      <w:rFonts w:ascii="MingLiU" w:eastAsia="MingLiU" w:hAnsi="MingLiU" w:cs="MingLiU"/>
      <w:spacing w:val="30"/>
      <w:sz w:val="30"/>
      <w:szCs w:val="30"/>
      <w:u w:color="000000"/>
      <w:shd w:val="clear" w:color="auto" w:fill="FFFFFF"/>
    </w:rPr>
  </w:style>
  <w:style w:type="character" w:customStyle="1" w:styleId="font21">
    <w:name w:val="font21"/>
    <w:basedOn w:val="a0"/>
    <w:uiPriority w:val="99"/>
    <w:qFormat/>
    <w:rPr>
      <w:rFonts w:ascii="CESI??-GB2312" w:eastAsia="Times New Roman" w:cs="CESI??-GB2312"/>
      <w:color w:val="000000"/>
      <w:sz w:val="24"/>
      <w:szCs w:val="24"/>
      <w:u w:val="none"/>
    </w:rPr>
  </w:style>
  <w:style w:type="character" w:customStyle="1" w:styleId="font41">
    <w:name w:val="font41"/>
    <w:basedOn w:val="a0"/>
    <w:uiPriority w:val="99"/>
    <w:qFormat/>
    <w:rPr>
      <w:rFonts w:ascii="CESI??-GB2312" w:eastAsia="Times New Roman" w:cs="CESI??-GB2312"/>
      <w:color w:val="FF0000"/>
      <w:sz w:val="24"/>
      <w:szCs w:val="24"/>
      <w:u w:val="none"/>
    </w:rPr>
  </w:style>
  <w:style w:type="paragraph" w:styleId="afc">
    <w:name w:val="List Paragraph"/>
    <w:basedOn w:val="a"/>
    <w:uiPriority w:val="99"/>
    <w:qFormat/>
    <w:pPr>
      <w:widowControl w:val="0"/>
      <w:spacing w:line="240" w:lineRule="auto"/>
      <w:ind w:firstLineChars="200" w:firstLine="200"/>
      <w:textAlignment w:val="auto"/>
    </w:pPr>
    <w:rPr>
      <w:rFonts w:ascii="Calibri" w:hAnsi="Calibri" w:cs="Calibri"/>
      <w:color w:val="auto"/>
      <w:kern w:val="2"/>
    </w:rPr>
  </w:style>
  <w:style w:type="paragraph" w:customStyle="1" w:styleId="afd">
    <w:name w:val="表格文字"/>
    <w:basedOn w:val="a"/>
    <w:next w:val="a4"/>
    <w:uiPriority w:val="99"/>
    <w:qFormat/>
    <w:pPr>
      <w:widowControl w:val="0"/>
      <w:adjustRightInd w:val="0"/>
      <w:spacing w:line="420" w:lineRule="atLeast"/>
      <w:jc w:val="left"/>
    </w:pPr>
    <w:rPr>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nhideWhenUsed="0" w:qFormat="1"/>
    <w:lsdException w:name="toc 2" w:unhideWhenUsed="0" w:qFormat="1"/>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unhideWhenUsed="0" w:qFormat="1"/>
    <w:lsdException w:name="header" w:semiHidden="0" w:unhideWhenUsed="0" w:qFormat="1"/>
    <w:lsdException w:name="footer" w:semiHidden="0" w:unhideWhenUsed="0" w:qFormat="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unhideWhenUsed="0" w:qFormat="1"/>
    <w:lsdException w:name="line number" w:locked="1"/>
    <w:lsdException w:name="page number" w:semiHidden="0" w:unhideWhenUsed="0"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1" w:qFormat="1"/>
    <w:lsdException w:name="Body Text" w:locked="1" w:unhideWhenUsed="0" w:qFormat="1"/>
    <w:lsdException w:name="Body Text Indent" w:semiHidden="0" w:unhideWhenUsed="0"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semiHidden="0" w:unhideWhenUsed="0" w:qFormat="1"/>
    <w:lsdException w:name="Body Text First Indent" w:locked="1" w:semiHidden="0" w:unhideWhenUsed="0" w:qFormat="1"/>
    <w:lsdException w:name="Body Text First Indent 2" w:locked="1" w:semiHidden="0" w:unhideWhenUsed="0" w:qFormat="1"/>
    <w:lsdException w:name="Note Heading" w:locked="1"/>
    <w:lsdException w:name="Body Text 2" w:semiHidden="0" w:unhideWhenUsed="0" w:qFormat="1"/>
    <w:lsdException w:name="Body Text 3" w:locked="1"/>
    <w:lsdException w:name="Body Text Indent 2" w:locked="1"/>
    <w:lsdException w:name="Body Text Indent 3" w:locked="1"/>
    <w:lsdException w:name="Block Text" w:locked="1"/>
    <w:lsdException w:name="Hyperlink" w:semiHidden="0" w:unhideWhenUsed="0" w:qFormat="1"/>
    <w:lsdException w:name="FollowedHyperlink" w:locked="1"/>
    <w:lsdException w:name="Strong" w:semiHidden="0" w:unhideWhenUsed="0" w:qFormat="1"/>
    <w:lsdException w:name="Emphasis" w:semiHidden="0" w:uiPriority="0" w:unhideWhenUsed="0" w:qFormat="1"/>
    <w:lsdException w:name="Document Map" w:locked="1"/>
    <w:lsdException w:name="Plain Text" w:semiHidden="0" w:unhideWhenUsed="0" w:qFormat="1"/>
    <w:lsdException w:name="E-mail Signature" w:locked="1"/>
    <w:lsdException w:name="Normal (Web)" w:semiHidden="0" w:unhideWhenUsed="0"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qFormat="1"/>
    <w:lsdException w:name="Table Grid" w:semiHidden="0" w:uiPriority="0"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spacing w:line="357" w:lineRule="atLeast"/>
      <w:jc w:val="both"/>
      <w:textAlignment w:val="baseline"/>
    </w:pPr>
    <w:rPr>
      <w:color w:val="000000"/>
      <w:sz w:val="21"/>
      <w:szCs w:val="21"/>
      <w:u w:color="000000"/>
    </w:rPr>
  </w:style>
  <w:style w:type="paragraph" w:styleId="1">
    <w:name w:val="heading 1"/>
    <w:basedOn w:val="a"/>
    <w:next w:val="a"/>
    <w:link w:val="1Char"/>
    <w:uiPriority w:val="99"/>
    <w:qFormat/>
    <w:pPr>
      <w:keepNext/>
      <w:keepLines/>
      <w:widowControl w:val="0"/>
      <w:spacing w:before="340" w:after="330" w:line="576" w:lineRule="auto"/>
      <w:textAlignment w:val="auto"/>
      <w:outlineLvl w:val="0"/>
    </w:pPr>
    <w:rPr>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Cambria" w:hAnsi="Cambria" w:cs="Cambria"/>
      <w:b/>
      <w:bCs/>
      <w:sz w:val="32"/>
      <w:szCs w:val="32"/>
    </w:rPr>
  </w:style>
  <w:style w:type="paragraph" w:styleId="3">
    <w:name w:val="heading 3"/>
    <w:basedOn w:val="a"/>
    <w:next w:val="a"/>
    <w:link w:val="3Char"/>
    <w:uiPriority w:val="99"/>
    <w:qFormat/>
    <w:pPr>
      <w:keepNext/>
      <w:keepLines/>
      <w:spacing w:before="260" w:after="260" w:line="416" w:lineRule="atLeast"/>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locked/>
    <w:pPr>
      <w:jc w:val="left"/>
    </w:pPr>
  </w:style>
  <w:style w:type="paragraph" w:styleId="a4">
    <w:name w:val="Body Text"/>
    <w:basedOn w:val="a"/>
    <w:link w:val="Char0"/>
    <w:uiPriority w:val="99"/>
    <w:semiHidden/>
    <w:qFormat/>
    <w:locked/>
    <w:pPr>
      <w:spacing w:after="120"/>
    </w:pPr>
  </w:style>
  <w:style w:type="paragraph" w:styleId="a5">
    <w:name w:val="Body Text Indent"/>
    <w:basedOn w:val="a"/>
    <w:link w:val="Char1"/>
    <w:uiPriority w:val="99"/>
    <w:qFormat/>
    <w:pPr>
      <w:widowControl w:val="0"/>
      <w:snapToGrid w:val="0"/>
      <w:spacing w:before="283" w:line="560" w:lineRule="exact"/>
      <w:ind w:firstLine="510"/>
    </w:pPr>
    <w:rPr>
      <w:sz w:val="20"/>
      <w:szCs w:val="20"/>
    </w:rPr>
  </w:style>
  <w:style w:type="paragraph" w:styleId="a6">
    <w:name w:val="Plain Text"/>
    <w:basedOn w:val="a"/>
    <w:link w:val="Char2"/>
    <w:uiPriority w:val="99"/>
    <w:qFormat/>
    <w:pPr>
      <w:widowControl w:val="0"/>
      <w:spacing w:line="240" w:lineRule="auto"/>
      <w:textAlignment w:val="auto"/>
    </w:pPr>
    <w:rPr>
      <w:rFonts w:ascii="宋体" w:hAnsi="Courier New" w:cs="宋体"/>
    </w:rPr>
  </w:style>
  <w:style w:type="paragraph" w:styleId="a7">
    <w:name w:val="Date"/>
    <w:basedOn w:val="a"/>
    <w:next w:val="a"/>
    <w:link w:val="Char3"/>
    <w:uiPriority w:val="99"/>
    <w:qFormat/>
    <w:pPr>
      <w:ind w:leftChars="2500" w:left="100"/>
    </w:pPr>
  </w:style>
  <w:style w:type="paragraph" w:styleId="a8">
    <w:name w:val="Balloon Text"/>
    <w:basedOn w:val="a"/>
    <w:link w:val="Char4"/>
    <w:uiPriority w:val="99"/>
    <w:semiHidden/>
    <w:qFormat/>
    <w:pPr>
      <w:spacing w:line="240" w:lineRule="auto"/>
    </w:pPr>
    <w:rPr>
      <w:sz w:val="18"/>
      <w:szCs w:val="18"/>
    </w:rPr>
  </w:style>
  <w:style w:type="paragraph" w:styleId="a9">
    <w:name w:val="footer"/>
    <w:basedOn w:val="a"/>
    <w:link w:val="Char5"/>
    <w:uiPriority w:val="99"/>
    <w:qFormat/>
    <w:pPr>
      <w:tabs>
        <w:tab w:val="center" w:pos="4153"/>
        <w:tab w:val="right" w:pos="8306"/>
      </w:tabs>
      <w:snapToGrid w:val="0"/>
      <w:spacing w:line="240" w:lineRule="atLeast"/>
      <w:jc w:val="left"/>
    </w:pPr>
    <w:rPr>
      <w:sz w:val="18"/>
      <w:szCs w:val="18"/>
    </w:rPr>
  </w:style>
  <w:style w:type="paragraph" w:styleId="aa">
    <w:name w:val="header"/>
    <w:basedOn w:val="a"/>
    <w:link w:val="Char6"/>
    <w:uiPriority w:val="99"/>
    <w:qFormat/>
    <w:pPr>
      <w:pBdr>
        <w:bottom w:val="single" w:sz="6" w:space="1" w:color="auto"/>
      </w:pBdr>
      <w:tabs>
        <w:tab w:val="center" w:pos="4153"/>
        <w:tab w:val="right" w:pos="8306"/>
      </w:tabs>
      <w:snapToGrid w:val="0"/>
      <w:spacing w:line="240" w:lineRule="atLeast"/>
      <w:jc w:val="center"/>
    </w:pPr>
    <w:rPr>
      <w:sz w:val="18"/>
      <w:szCs w:val="18"/>
    </w:rPr>
  </w:style>
  <w:style w:type="paragraph" w:styleId="10">
    <w:name w:val="toc 1"/>
    <w:basedOn w:val="a"/>
    <w:next w:val="a"/>
    <w:uiPriority w:val="99"/>
    <w:semiHidden/>
    <w:qFormat/>
  </w:style>
  <w:style w:type="paragraph" w:styleId="20">
    <w:name w:val="toc 2"/>
    <w:basedOn w:val="a"/>
    <w:next w:val="a"/>
    <w:uiPriority w:val="99"/>
    <w:semiHidden/>
    <w:qFormat/>
    <w:pPr>
      <w:ind w:leftChars="200" w:left="420"/>
    </w:pPr>
  </w:style>
  <w:style w:type="paragraph" w:styleId="21">
    <w:name w:val="Body Text 2"/>
    <w:basedOn w:val="a"/>
    <w:link w:val="2Char0"/>
    <w:uiPriority w:val="99"/>
    <w:qFormat/>
    <w:pPr>
      <w:spacing w:after="120" w:line="480" w:lineRule="auto"/>
    </w:pPr>
    <w:rPr>
      <w:sz w:val="20"/>
      <w:szCs w:val="20"/>
    </w:rPr>
  </w:style>
  <w:style w:type="paragraph" w:styleId="ab">
    <w:name w:val="Normal (Web)"/>
    <w:basedOn w:val="a"/>
    <w:uiPriority w:val="99"/>
    <w:qFormat/>
    <w:pPr>
      <w:spacing w:before="100" w:beforeAutospacing="1" w:after="100" w:afterAutospacing="1" w:line="240" w:lineRule="auto"/>
      <w:jc w:val="left"/>
      <w:textAlignment w:val="auto"/>
    </w:pPr>
    <w:rPr>
      <w:rFonts w:ascii="宋体" w:hAnsi="宋体" w:cs="宋体"/>
      <w:sz w:val="24"/>
      <w:szCs w:val="24"/>
    </w:rPr>
  </w:style>
  <w:style w:type="paragraph" w:styleId="ac">
    <w:name w:val="annotation subject"/>
    <w:basedOn w:val="a3"/>
    <w:next w:val="a3"/>
    <w:link w:val="Char7"/>
    <w:uiPriority w:val="99"/>
    <w:semiHidden/>
    <w:qFormat/>
    <w:locked/>
    <w:rPr>
      <w:b/>
      <w:bCs/>
    </w:rPr>
  </w:style>
  <w:style w:type="paragraph" w:styleId="ad">
    <w:name w:val="Body Text First Indent"/>
    <w:basedOn w:val="a4"/>
    <w:next w:val="22"/>
    <w:link w:val="Char8"/>
    <w:uiPriority w:val="99"/>
    <w:qFormat/>
    <w:locked/>
    <w:pPr>
      <w:ind w:firstLineChars="100" w:firstLine="420"/>
    </w:pPr>
  </w:style>
  <w:style w:type="paragraph" w:styleId="22">
    <w:name w:val="Body Text First Indent 2"/>
    <w:basedOn w:val="a5"/>
    <w:link w:val="2Char1"/>
    <w:uiPriority w:val="99"/>
    <w:qFormat/>
    <w:locked/>
    <w:pPr>
      <w:widowControl/>
      <w:snapToGrid/>
      <w:spacing w:before="0" w:after="120" w:line="357" w:lineRule="atLeast"/>
      <w:ind w:leftChars="200" w:left="420" w:firstLineChars="200" w:firstLine="420"/>
    </w:pPr>
    <w:rPr>
      <w:sz w:val="21"/>
      <w:szCs w:val="21"/>
    </w:rPr>
  </w:style>
  <w:style w:type="table" w:styleId="ae">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basedOn w:val="a0"/>
    <w:uiPriority w:val="99"/>
    <w:qFormat/>
    <w:rPr>
      <w:b/>
      <w:bCs/>
    </w:rPr>
  </w:style>
  <w:style w:type="character" w:styleId="af0">
    <w:name w:val="page number"/>
    <w:basedOn w:val="a0"/>
    <w:uiPriority w:val="99"/>
    <w:qFormat/>
  </w:style>
  <w:style w:type="character" w:styleId="af1">
    <w:name w:val="Hyperlink"/>
    <w:basedOn w:val="a0"/>
    <w:uiPriority w:val="99"/>
    <w:qFormat/>
    <w:rPr>
      <w:color w:val="0368A8"/>
      <w:u w:val="none"/>
    </w:rPr>
  </w:style>
  <w:style w:type="character" w:styleId="af2">
    <w:name w:val="annotation reference"/>
    <w:basedOn w:val="a0"/>
    <w:uiPriority w:val="99"/>
    <w:semiHidden/>
    <w:qFormat/>
    <w:locked/>
    <w:rPr>
      <w:sz w:val="21"/>
      <w:szCs w:val="21"/>
    </w:rPr>
  </w:style>
  <w:style w:type="character" w:customStyle="1" w:styleId="1Char">
    <w:name w:val="标题 1 Char"/>
    <w:basedOn w:val="a0"/>
    <w:link w:val="1"/>
    <w:uiPriority w:val="99"/>
    <w:qFormat/>
    <w:locked/>
    <w:rPr>
      <w:b/>
      <w:bCs/>
      <w:color w:val="000000"/>
      <w:kern w:val="44"/>
      <w:sz w:val="44"/>
      <w:szCs w:val="44"/>
      <w:u w:val="none" w:color="000000"/>
    </w:rPr>
  </w:style>
  <w:style w:type="character" w:customStyle="1" w:styleId="2Char">
    <w:name w:val="标题 2 Char"/>
    <w:basedOn w:val="a0"/>
    <w:link w:val="2"/>
    <w:uiPriority w:val="99"/>
    <w:semiHidden/>
    <w:qFormat/>
    <w:locked/>
    <w:rPr>
      <w:rFonts w:ascii="Cambria" w:eastAsia="宋体" w:hAnsi="Cambria" w:cs="Cambria"/>
      <w:b/>
      <w:bCs/>
      <w:color w:val="000000"/>
      <w:kern w:val="0"/>
      <w:sz w:val="32"/>
      <w:szCs w:val="32"/>
      <w:u w:color="000000"/>
    </w:rPr>
  </w:style>
  <w:style w:type="character" w:customStyle="1" w:styleId="3Char">
    <w:name w:val="标题 3 Char"/>
    <w:basedOn w:val="a0"/>
    <w:link w:val="3"/>
    <w:uiPriority w:val="99"/>
    <w:semiHidden/>
    <w:qFormat/>
    <w:locked/>
    <w:rPr>
      <w:b/>
      <w:bCs/>
      <w:color w:val="000000"/>
      <w:sz w:val="32"/>
      <w:szCs w:val="32"/>
      <w:u w:val="none" w:color="000000"/>
    </w:rPr>
  </w:style>
  <w:style w:type="character" w:customStyle="1" w:styleId="Char">
    <w:name w:val="批注文字 Char"/>
    <w:basedOn w:val="a0"/>
    <w:link w:val="a3"/>
    <w:uiPriority w:val="99"/>
    <w:semiHidden/>
    <w:qFormat/>
    <w:locked/>
    <w:rPr>
      <w:color w:val="000000"/>
      <w:sz w:val="21"/>
      <w:szCs w:val="21"/>
      <w:u w:color="000000"/>
    </w:rPr>
  </w:style>
  <w:style w:type="character" w:customStyle="1" w:styleId="Char0">
    <w:name w:val="正文文本 Char"/>
    <w:basedOn w:val="a0"/>
    <w:link w:val="a4"/>
    <w:uiPriority w:val="99"/>
    <w:semiHidden/>
    <w:qFormat/>
    <w:locked/>
    <w:rPr>
      <w:color w:val="000000"/>
      <w:sz w:val="21"/>
      <w:szCs w:val="21"/>
      <w:u w:color="000000"/>
    </w:rPr>
  </w:style>
  <w:style w:type="character" w:customStyle="1" w:styleId="Char1">
    <w:name w:val="正文文本缩进 Char"/>
    <w:basedOn w:val="a0"/>
    <w:link w:val="a5"/>
    <w:uiPriority w:val="99"/>
    <w:semiHidden/>
    <w:qFormat/>
    <w:locked/>
    <w:rPr>
      <w:color w:val="000000"/>
      <w:kern w:val="0"/>
      <w:sz w:val="20"/>
      <w:szCs w:val="20"/>
      <w:u w:val="none" w:color="000000"/>
    </w:rPr>
  </w:style>
  <w:style w:type="character" w:customStyle="1" w:styleId="PlainTextChar">
    <w:name w:val="Plain Text Char"/>
    <w:basedOn w:val="a0"/>
    <w:uiPriority w:val="99"/>
    <w:qFormat/>
    <w:locked/>
    <w:rPr>
      <w:rFonts w:ascii="宋体" w:eastAsia="宋体" w:hAnsi="Courier New" w:cs="宋体"/>
      <w:kern w:val="2"/>
      <w:sz w:val="21"/>
      <w:szCs w:val="21"/>
      <w:lang w:val="en-US" w:eastAsia="zh-CN"/>
    </w:rPr>
  </w:style>
  <w:style w:type="character" w:customStyle="1" w:styleId="Char3">
    <w:name w:val="日期 Char"/>
    <w:basedOn w:val="a0"/>
    <w:link w:val="a7"/>
    <w:uiPriority w:val="99"/>
    <w:qFormat/>
    <w:locked/>
    <w:rPr>
      <w:color w:val="000000"/>
      <w:sz w:val="21"/>
      <w:szCs w:val="21"/>
      <w:u w:val="none" w:color="000000"/>
    </w:rPr>
  </w:style>
  <w:style w:type="character" w:customStyle="1" w:styleId="Char4">
    <w:name w:val="批注框文本 Char"/>
    <w:basedOn w:val="a0"/>
    <w:link w:val="a8"/>
    <w:uiPriority w:val="99"/>
    <w:qFormat/>
    <w:locked/>
    <w:rPr>
      <w:color w:val="000000"/>
      <w:sz w:val="18"/>
      <w:szCs w:val="18"/>
      <w:u w:val="none" w:color="000000"/>
    </w:rPr>
  </w:style>
  <w:style w:type="character" w:customStyle="1" w:styleId="Char5">
    <w:name w:val="页脚 Char"/>
    <w:basedOn w:val="a0"/>
    <w:link w:val="a9"/>
    <w:uiPriority w:val="99"/>
    <w:qFormat/>
    <w:locked/>
    <w:rPr>
      <w:color w:val="000000"/>
      <w:kern w:val="0"/>
      <w:sz w:val="18"/>
      <w:szCs w:val="18"/>
      <w:u w:val="none" w:color="000000"/>
    </w:rPr>
  </w:style>
  <w:style w:type="character" w:customStyle="1" w:styleId="Char6">
    <w:name w:val="页眉 Char"/>
    <w:basedOn w:val="a0"/>
    <w:link w:val="aa"/>
    <w:uiPriority w:val="99"/>
    <w:semiHidden/>
    <w:qFormat/>
    <w:locked/>
    <w:rPr>
      <w:color w:val="000000"/>
      <w:kern w:val="0"/>
      <w:sz w:val="18"/>
      <w:szCs w:val="18"/>
      <w:u w:val="none" w:color="000000"/>
    </w:rPr>
  </w:style>
  <w:style w:type="character" w:customStyle="1" w:styleId="2Char0">
    <w:name w:val="正文文本 2 Char"/>
    <w:basedOn w:val="a0"/>
    <w:link w:val="21"/>
    <w:uiPriority w:val="99"/>
    <w:semiHidden/>
    <w:qFormat/>
    <w:locked/>
    <w:rPr>
      <w:color w:val="000000"/>
      <w:kern w:val="0"/>
      <w:sz w:val="20"/>
      <w:szCs w:val="20"/>
      <w:u w:val="none" w:color="000000"/>
    </w:rPr>
  </w:style>
  <w:style w:type="character" w:customStyle="1" w:styleId="Char7">
    <w:name w:val="批注主题 Char"/>
    <w:basedOn w:val="Char"/>
    <w:link w:val="ac"/>
    <w:uiPriority w:val="99"/>
    <w:semiHidden/>
    <w:qFormat/>
    <w:locked/>
    <w:rPr>
      <w:b/>
      <w:bCs/>
      <w:color w:val="000000"/>
      <w:sz w:val="21"/>
      <w:szCs w:val="21"/>
      <w:u w:color="000000"/>
    </w:rPr>
  </w:style>
  <w:style w:type="character" w:customStyle="1" w:styleId="Char8">
    <w:name w:val="正文首行缩进 Char"/>
    <w:basedOn w:val="Char0"/>
    <w:link w:val="ad"/>
    <w:uiPriority w:val="99"/>
    <w:semiHidden/>
    <w:qFormat/>
    <w:locked/>
    <w:rPr>
      <w:color w:val="000000"/>
      <w:sz w:val="21"/>
      <w:szCs w:val="21"/>
      <w:u w:color="000000"/>
    </w:rPr>
  </w:style>
  <w:style w:type="character" w:customStyle="1" w:styleId="2Char1">
    <w:name w:val="正文首行缩进 2 Char"/>
    <w:basedOn w:val="Char1"/>
    <w:link w:val="22"/>
    <w:uiPriority w:val="99"/>
    <w:semiHidden/>
    <w:qFormat/>
    <w:locked/>
    <w:rPr>
      <w:color w:val="000000"/>
      <w:kern w:val="0"/>
      <w:sz w:val="21"/>
      <w:szCs w:val="21"/>
      <w:u w:val="none" w:color="000000"/>
    </w:rPr>
  </w:style>
  <w:style w:type="paragraph" w:customStyle="1" w:styleId="11">
    <w:name w:val="目录1"/>
    <w:basedOn w:val="a"/>
    <w:next w:val="a"/>
    <w:uiPriority w:val="99"/>
    <w:qFormat/>
    <w:pPr>
      <w:tabs>
        <w:tab w:val="left" w:leader="dot" w:pos="8503"/>
      </w:tabs>
      <w:spacing w:after="136" w:line="289" w:lineRule="atLeast"/>
      <w:jc w:val="left"/>
    </w:pPr>
    <w:rPr>
      <w:rFonts w:ascii="Arial" w:eastAsia="黑体" w:cs="Arial"/>
      <w:sz w:val="28"/>
      <w:szCs w:val="28"/>
    </w:rPr>
  </w:style>
  <w:style w:type="paragraph" w:customStyle="1" w:styleId="af3">
    <w:name w:val="章标题"/>
    <w:basedOn w:val="a"/>
    <w:next w:val="af4"/>
    <w:uiPriority w:val="99"/>
    <w:qFormat/>
    <w:pPr>
      <w:spacing w:before="158" w:after="153" w:line="323" w:lineRule="atLeast"/>
      <w:jc w:val="center"/>
    </w:pPr>
    <w:rPr>
      <w:rFonts w:ascii="Arial" w:eastAsia="黑体" w:cs="Arial"/>
      <w:sz w:val="31"/>
      <w:szCs w:val="31"/>
    </w:rPr>
  </w:style>
  <w:style w:type="paragraph" w:customStyle="1" w:styleId="af4">
    <w:name w:val="节标题"/>
    <w:basedOn w:val="a"/>
    <w:next w:val="af5"/>
    <w:uiPriority w:val="99"/>
    <w:qFormat/>
    <w:pPr>
      <w:spacing w:line="289" w:lineRule="atLeast"/>
      <w:jc w:val="center"/>
    </w:pPr>
    <w:rPr>
      <w:sz w:val="28"/>
      <w:szCs w:val="28"/>
    </w:rPr>
  </w:style>
  <w:style w:type="paragraph" w:customStyle="1" w:styleId="af5">
    <w:name w:val="小节标题"/>
    <w:basedOn w:val="a"/>
    <w:next w:val="a"/>
    <w:uiPriority w:val="99"/>
    <w:qFormat/>
    <w:pPr>
      <w:spacing w:before="175" w:after="102" w:line="351" w:lineRule="atLeast"/>
    </w:pPr>
    <w:rPr>
      <w:rFonts w:eastAsia="黑体"/>
    </w:rPr>
  </w:style>
  <w:style w:type="paragraph" w:customStyle="1" w:styleId="23">
    <w:name w:val="目录2"/>
    <w:basedOn w:val="a"/>
    <w:next w:val="a"/>
    <w:uiPriority w:val="99"/>
    <w:qFormat/>
    <w:pPr>
      <w:tabs>
        <w:tab w:val="left" w:leader="dot" w:pos="8503"/>
      </w:tabs>
      <w:spacing w:line="317" w:lineRule="atLeast"/>
      <w:ind w:firstLine="209"/>
    </w:pPr>
  </w:style>
  <w:style w:type="paragraph" w:customStyle="1" w:styleId="4">
    <w:name w:val="目录4"/>
    <w:basedOn w:val="a"/>
    <w:next w:val="a"/>
    <w:uiPriority w:val="99"/>
    <w:qFormat/>
    <w:pPr>
      <w:tabs>
        <w:tab w:val="left" w:leader="dot" w:pos="8503"/>
      </w:tabs>
      <w:spacing w:line="317" w:lineRule="atLeast"/>
      <w:ind w:firstLine="629"/>
    </w:pPr>
  </w:style>
  <w:style w:type="paragraph" w:customStyle="1" w:styleId="1CharCharCharChar">
    <w:name w:val="1 Char Char Char Char"/>
    <w:basedOn w:val="a"/>
    <w:uiPriority w:val="99"/>
    <w:qFormat/>
    <w:pPr>
      <w:widowControl w:val="0"/>
      <w:spacing w:line="240" w:lineRule="auto"/>
      <w:textAlignment w:val="auto"/>
    </w:pPr>
    <w:rPr>
      <w:rFonts w:ascii="Tahoma" w:hAnsi="Tahoma" w:cs="Tahoma"/>
      <w:color w:val="auto"/>
      <w:kern w:val="2"/>
      <w:sz w:val="24"/>
      <w:szCs w:val="24"/>
    </w:rPr>
  </w:style>
  <w:style w:type="paragraph" w:customStyle="1" w:styleId="CharCharChar">
    <w:name w:val="Char Char Char"/>
    <w:basedOn w:val="a"/>
    <w:uiPriority w:val="99"/>
    <w:qFormat/>
    <w:pPr>
      <w:widowControl w:val="0"/>
      <w:spacing w:line="240" w:lineRule="auto"/>
      <w:textAlignment w:val="auto"/>
    </w:pPr>
    <w:rPr>
      <w:rFonts w:ascii="Tahoma" w:hAnsi="Tahoma" w:cs="Tahoma"/>
      <w:color w:val="auto"/>
      <w:kern w:val="2"/>
      <w:sz w:val="24"/>
      <w:szCs w:val="24"/>
    </w:rPr>
  </w:style>
  <w:style w:type="paragraph" w:customStyle="1" w:styleId="30">
    <w:name w:val="目录3"/>
    <w:basedOn w:val="a"/>
    <w:next w:val="a"/>
    <w:uiPriority w:val="99"/>
    <w:qFormat/>
    <w:pPr>
      <w:tabs>
        <w:tab w:val="left" w:leader="dot" w:pos="8503"/>
      </w:tabs>
      <w:spacing w:line="317" w:lineRule="atLeast"/>
      <w:ind w:firstLine="419"/>
    </w:pPr>
  </w:style>
  <w:style w:type="paragraph" w:customStyle="1" w:styleId="af6">
    <w:name w:val="目录标题"/>
    <w:basedOn w:val="a"/>
    <w:next w:val="a"/>
    <w:uiPriority w:val="99"/>
    <w:qFormat/>
    <w:pPr>
      <w:spacing w:before="566" w:after="544" w:line="566" w:lineRule="atLeast"/>
      <w:ind w:firstLine="419"/>
      <w:jc w:val="center"/>
    </w:pPr>
    <w:rPr>
      <w:rFonts w:ascii="Arial" w:eastAsia="黑体" w:cs="Arial"/>
      <w:spacing w:val="566"/>
      <w:sz w:val="54"/>
      <w:szCs w:val="54"/>
    </w:rPr>
  </w:style>
  <w:style w:type="paragraph" w:customStyle="1" w:styleId="af7">
    <w:name w:val="文章总标题"/>
    <w:basedOn w:val="a"/>
    <w:next w:val="af8"/>
    <w:uiPriority w:val="99"/>
    <w:qFormat/>
    <w:pPr>
      <w:spacing w:before="566" w:after="544" w:line="566" w:lineRule="atLeast"/>
      <w:jc w:val="center"/>
    </w:pPr>
    <w:rPr>
      <w:rFonts w:ascii="Arial" w:eastAsia="黑体" w:cs="Arial"/>
      <w:sz w:val="54"/>
      <w:szCs w:val="54"/>
    </w:rPr>
  </w:style>
  <w:style w:type="paragraph" w:customStyle="1" w:styleId="af8">
    <w:name w:val="文章附标题"/>
    <w:basedOn w:val="a"/>
    <w:next w:val="af3"/>
    <w:uiPriority w:val="99"/>
    <w:qFormat/>
    <w:pPr>
      <w:spacing w:before="187" w:after="175" w:line="374" w:lineRule="atLeast"/>
      <w:jc w:val="center"/>
    </w:pPr>
    <w:rPr>
      <w:sz w:val="36"/>
      <w:szCs w:val="36"/>
    </w:rPr>
  </w:style>
  <w:style w:type="paragraph" w:customStyle="1" w:styleId="Char10">
    <w:name w:val="Char1"/>
    <w:basedOn w:val="a"/>
    <w:uiPriority w:val="99"/>
    <w:qFormat/>
    <w:pPr>
      <w:widowControl w:val="0"/>
      <w:spacing w:line="240" w:lineRule="auto"/>
      <w:textAlignment w:val="auto"/>
    </w:pPr>
    <w:rPr>
      <w:rFonts w:ascii="Tahoma" w:hAnsi="Tahoma" w:cs="Tahoma"/>
      <w:color w:val="auto"/>
      <w:kern w:val="2"/>
      <w:sz w:val="24"/>
      <w:szCs w:val="24"/>
    </w:rPr>
  </w:style>
  <w:style w:type="paragraph" w:customStyle="1" w:styleId="Char11">
    <w:name w:val="Char11"/>
    <w:basedOn w:val="a"/>
    <w:uiPriority w:val="99"/>
    <w:qFormat/>
    <w:pPr>
      <w:widowControl w:val="0"/>
      <w:spacing w:line="240" w:lineRule="auto"/>
      <w:textAlignment w:val="auto"/>
    </w:pPr>
    <w:rPr>
      <w:rFonts w:ascii="Tahoma" w:hAnsi="Tahoma" w:cs="Tahoma"/>
      <w:color w:val="auto"/>
      <w:kern w:val="2"/>
      <w:sz w:val="24"/>
      <w:szCs w:val="24"/>
    </w:rPr>
  </w:style>
  <w:style w:type="paragraph" w:customStyle="1" w:styleId="CharCharCharCharCharCharChar">
    <w:name w:val="Char Char Char Char Char Char Char"/>
    <w:basedOn w:val="a"/>
    <w:uiPriority w:val="99"/>
    <w:qFormat/>
    <w:pPr>
      <w:widowControl w:val="0"/>
      <w:spacing w:line="240" w:lineRule="auto"/>
      <w:textAlignment w:val="auto"/>
    </w:pPr>
    <w:rPr>
      <w:rFonts w:ascii="Tahoma" w:hAnsi="Tahoma" w:cs="Tahoma"/>
      <w:color w:val="auto"/>
      <w:kern w:val="2"/>
      <w:sz w:val="24"/>
      <w:szCs w:val="24"/>
    </w:rPr>
  </w:style>
  <w:style w:type="paragraph" w:customStyle="1" w:styleId="WPSPlain">
    <w:name w:val="WPS Plain"/>
    <w:uiPriority w:val="99"/>
    <w:qFormat/>
  </w:style>
  <w:style w:type="paragraph" w:customStyle="1" w:styleId="cjk">
    <w:name w:val="cjk"/>
    <w:basedOn w:val="a"/>
    <w:uiPriority w:val="99"/>
    <w:qFormat/>
    <w:pPr>
      <w:spacing w:before="100" w:beforeAutospacing="1" w:after="100" w:afterAutospacing="1" w:line="240" w:lineRule="auto"/>
      <w:jc w:val="left"/>
      <w:textAlignment w:val="auto"/>
    </w:pPr>
    <w:rPr>
      <w:rFonts w:ascii="宋体" w:hAnsi="宋体" w:cs="宋体"/>
      <w:color w:val="auto"/>
      <w:sz w:val="18"/>
      <w:szCs w:val="18"/>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paragraph" w:customStyle="1" w:styleId="TOCHeading1">
    <w:name w:val="TOC Heading1"/>
    <w:basedOn w:val="1"/>
    <w:next w:val="a"/>
    <w:uiPriority w:val="99"/>
    <w:qFormat/>
    <w:pPr>
      <w:widowControl/>
      <w:spacing w:before="480" w:after="0" w:line="276" w:lineRule="auto"/>
      <w:jc w:val="left"/>
      <w:outlineLvl w:val="9"/>
    </w:pPr>
    <w:rPr>
      <w:rFonts w:ascii="Cambria" w:hAnsi="Cambria" w:cs="Cambria"/>
      <w:color w:val="365F91"/>
      <w:kern w:val="0"/>
      <w:sz w:val="28"/>
      <w:szCs w:val="28"/>
    </w:rPr>
  </w:style>
  <w:style w:type="paragraph" w:customStyle="1" w:styleId="ListParagraph1">
    <w:name w:val="List Paragraph1"/>
    <w:basedOn w:val="a"/>
    <w:uiPriority w:val="99"/>
    <w:qFormat/>
    <w:pPr>
      <w:ind w:firstLineChars="200" w:firstLine="420"/>
    </w:pPr>
  </w:style>
  <w:style w:type="character" w:customStyle="1" w:styleId="af9">
    <w:name w:val="链接"/>
    <w:uiPriority w:val="99"/>
    <w:qFormat/>
    <w:rPr>
      <w:rFonts w:ascii="Times New Roman" w:eastAsia="宋体" w:cs="Times New Roman"/>
      <w:color w:val="0000FF"/>
      <w:sz w:val="21"/>
      <w:szCs w:val="21"/>
      <w:u w:val="single" w:color="0000FF"/>
      <w:lang w:val="en-US" w:eastAsia="zh-CN"/>
    </w:rPr>
  </w:style>
  <w:style w:type="character" w:customStyle="1" w:styleId="afa">
    <w:name w:val="超级链接"/>
    <w:uiPriority w:val="99"/>
    <w:qFormat/>
    <w:rPr>
      <w:rFonts w:ascii="Times New Roman" w:eastAsia="宋体" w:cs="Times New Roman"/>
      <w:color w:val="0000FF"/>
      <w:sz w:val="21"/>
      <w:szCs w:val="21"/>
      <w:u w:val="single" w:color="0000FF"/>
      <w:lang w:val="en-US" w:eastAsia="zh-CN"/>
    </w:rPr>
  </w:style>
  <w:style w:type="character" w:customStyle="1" w:styleId="paramtd12">
    <w:name w:val="param_td12"/>
    <w:uiPriority w:val="99"/>
    <w:qFormat/>
  </w:style>
  <w:style w:type="character" w:customStyle="1" w:styleId="Char2">
    <w:name w:val="纯文本 Char"/>
    <w:link w:val="a6"/>
    <w:uiPriority w:val="99"/>
    <w:semiHidden/>
    <w:qFormat/>
    <w:locked/>
    <w:rPr>
      <w:rFonts w:ascii="宋体" w:hAnsi="Courier New" w:cs="宋体"/>
      <w:color w:val="000000"/>
      <w:kern w:val="0"/>
      <w:sz w:val="21"/>
      <w:szCs w:val="21"/>
      <w:u w:val="none" w:color="000000"/>
    </w:rPr>
  </w:style>
  <w:style w:type="character" w:customStyle="1" w:styleId="CharChar">
    <w:name w:val="纯文本 Char Char"/>
    <w:uiPriority w:val="99"/>
    <w:qFormat/>
    <w:rPr>
      <w:rFonts w:ascii="宋体" w:eastAsia="宋体" w:hAnsi="Courier New" w:cs="宋体"/>
      <w:kern w:val="2"/>
      <w:sz w:val="21"/>
      <w:szCs w:val="21"/>
      <w:lang w:val="en-US" w:eastAsia="zh-CN"/>
    </w:rPr>
  </w:style>
  <w:style w:type="character" w:customStyle="1" w:styleId="CharChar4">
    <w:name w:val="Char Char4"/>
    <w:uiPriority w:val="99"/>
    <w:qFormat/>
    <w:rPr>
      <w:rFonts w:ascii="宋体" w:eastAsia="宋体" w:cs="宋体"/>
      <w:kern w:val="2"/>
      <w:sz w:val="28"/>
      <w:szCs w:val="28"/>
    </w:rPr>
  </w:style>
  <w:style w:type="character" w:customStyle="1" w:styleId="Char12">
    <w:name w:val="纯文本 Char1"/>
    <w:uiPriority w:val="99"/>
    <w:qFormat/>
    <w:locked/>
    <w:rPr>
      <w:rFonts w:ascii="宋体" w:hAnsi="Courier New" w:cs="宋体"/>
      <w:kern w:val="2"/>
      <w:sz w:val="21"/>
      <w:szCs w:val="21"/>
      <w:u w:color="000000"/>
    </w:rPr>
  </w:style>
  <w:style w:type="character" w:customStyle="1" w:styleId="15">
    <w:name w:val="15"/>
    <w:basedOn w:val="a0"/>
    <w:uiPriority w:val="99"/>
    <w:qFormat/>
  </w:style>
  <w:style w:type="character" w:customStyle="1" w:styleId="0Char">
    <w:name w:val="样式 首行缩进:  0 字符 Char"/>
    <w:link w:val="0"/>
    <w:uiPriority w:val="99"/>
    <w:qFormat/>
    <w:locked/>
    <w:rPr>
      <w:sz w:val="24"/>
      <w:szCs w:val="24"/>
    </w:rPr>
  </w:style>
  <w:style w:type="paragraph" w:customStyle="1" w:styleId="0">
    <w:name w:val="样式 首行缩进:  0 字符"/>
    <w:basedOn w:val="a"/>
    <w:link w:val="0Char"/>
    <w:uiPriority w:val="99"/>
    <w:qFormat/>
    <w:pPr>
      <w:widowControl w:val="0"/>
      <w:spacing w:line="360" w:lineRule="auto"/>
      <w:ind w:firstLineChars="200" w:firstLine="200"/>
      <w:textAlignment w:val="auto"/>
    </w:pPr>
    <w:rPr>
      <w:color w:val="auto"/>
      <w:sz w:val="24"/>
      <w:szCs w:val="24"/>
    </w:rPr>
  </w:style>
  <w:style w:type="paragraph" w:customStyle="1" w:styleId="24">
    <w:name w:val="正文文本 (2)"/>
    <w:basedOn w:val="a"/>
    <w:link w:val="25"/>
    <w:uiPriority w:val="99"/>
    <w:qFormat/>
    <w:pPr>
      <w:widowControl w:val="0"/>
      <w:shd w:val="clear" w:color="auto" w:fill="FFFFFF"/>
      <w:spacing w:after="660" w:line="240" w:lineRule="atLeast"/>
      <w:jc w:val="left"/>
      <w:textAlignment w:val="auto"/>
    </w:pPr>
    <w:rPr>
      <w:rFonts w:ascii="MingLiU" w:eastAsia="MingLiU" w:hAnsi="MingLiU" w:cs="MingLiU"/>
      <w:color w:val="auto"/>
      <w:spacing w:val="30"/>
      <w:sz w:val="30"/>
      <w:szCs w:val="30"/>
    </w:rPr>
  </w:style>
  <w:style w:type="character" w:customStyle="1" w:styleId="26">
    <w:name w:val="正文文本 (2) + 斜体"/>
    <w:uiPriority w:val="99"/>
    <w:qFormat/>
    <w:rPr>
      <w:rFonts w:ascii="MingLiU" w:eastAsia="MingLiU" w:hAnsi="MingLiU" w:cs="MingLiU"/>
      <w:i/>
      <w:iCs/>
      <w:color w:val="000000"/>
      <w:spacing w:val="0"/>
      <w:w w:val="100"/>
      <w:position w:val="0"/>
      <w:sz w:val="30"/>
      <w:szCs w:val="30"/>
      <w:u w:val="none"/>
      <w:lang w:val="zh-CN" w:eastAsia="zh-CN"/>
    </w:rPr>
  </w:style>
  <w:style w:type="character" w:customStyle="1" w:styleId="Calibri">
    <w:name w:val="页眉或页脚 + Calibri"/>
    <w:uiPriority w:val="99"/>
    <w:qFormat/>
    <w:rPr>
      <w:rFonts w:ascii="Calibri" w:hAnsi="Calibri" w:cs="Calibri"/>
      <w:color w:val="000000"/>
      <w:spacing w:val="0"/>
      <w:w w:val="100"/>
      <w:position w:val="0"/>
      <w:sz w:val="20"/>
      <w:szCs w:val="20"/>
      <w:u w:val="none"/>
      <w:lang w:val="zh-CN" w:eastAsia="zh-CN"/>
    </w:rPr>
  </w:style>
  <w:style w:type="character" w:customStyle="1" w:styleId="afb">
    <w:name w:val="页眉或页脚"/>
    <w:uiPriority w:val="99"/>
    <w:qFormat/>
    <w:rPr>
      <w:rFonts w:ascii="MingLiU" w:eastAsia="MingLiU" w:hAnsi="MingLiU" w:cs="MingLiU"/>
      <w:color w:val="000000"/>
      <w:spacing w:val="0"/>
      <w:w w:val="100"/>
      <w:position w:val="0"/>
      <w:sz w:val="18"/>
      <w:szCs w:val="18"/>
      <w:u w:val="none"/>
      <w:lang w:val="zh-CN" w:eastAsia="zh-CN"/>
    </w:rPr>
  </w:style>
  <w:style w:type="character" w:customStyle="1" w:styleId="25">
    <w:name w:val="正文文本 (2)_"/>
    <w:link w:val="24"/>
    <w:uiPriority w:val="99"/>
    <w:qFormat/>
    <w:locked/>
    <w:rPr>
      <w:rFonts w:ascii="MingLiU" w:eastAsia="MingLiU" w:hAnsi="MingLiU" w:cs="MingLiU"/>
      <w:spacing w:val="30"/>
      <w:sz w:val="30"/>
      <w:szCs w:val="30"/>
      <w:u w:color="000000"/>
      <w:shd w:val="clear" w:color="auto" w:fill="FFFFFF"/>
    </w:rPr>
  </w:style>
  <w:style w:type="character" w:customStyle="1" w:styleId="font21">
    <w:name w:val="font21"/>
    <w:basedOn w:val="a0"/>
    <w:uiPriority w:val="99"/>
    <w:qFormat/>
    <w:rPr>
      <w:rFonts w:ascii="CESI??-GB2312" w:eastAsia="Times New Roman" w:cs="CESI??-GB2312"/>
      <w:color w:val="000000"/>
      <w:sz w:val="24"/>
      <w:szCs w:val="24"/>
      <w:u w:val="none"/>
    </w:rPr>
  </w:style>
  <w:style w:type="character" w:customStyle="1" w:styleId="font41">
    <w:name w:val="font41"/>
    <w:basedOn w:val="a0"/>
    <w:uiPriority w:val="99"/>
    <w:qFormat/>
    <w:rPr>
      <w:rFonts w:ascii="CESI??-GB2312" w:eastAsia="Times New Roman" w:cs="CESI??-GB2312"/>
      <w:color w:val="FF0000"/>
      <w:sz w:val="24"/>
      <w:szCs w:val="24"/>
      <w:u w:val="none"/>
    </w:rPr>
  </w:style>
  <w:style w:type="paragraph" w:styleId="afc">
    <w:name w:val="List Paragraph"/>
    <w:basedOn w:val="a"/>
    <w:uiPriority w:val="99"/>
    <w:qFormat/>
    <w:pPr>
      <w:widowControl w:val="0"/>
      <w:spacing w:line="240" w:lineRule="auto"/>
      <w:ind w:firstLineChars="200" w:firstLine="200"/>
      <w:textAlignment w:val="auto"/>
    </w:pPr>
    <w:rPr>
      <w:rFonts w:ascii="Calibri" w:hAnsi="Calibri" w:cs="Calibri"/>
      <w:color w:val="auto"/>
      <w:kern w:val="2"/>
    </w:rPr>
  </w:style>
  <w:style w:type="paragraph" w:customStyle="1" w:styleId="afd">
    <w:name w:val="表格文字"/>
    <w:basedOn w:val="a"/>
    <w:next w:val="a4"/>
    <w:uiPriority w:val="99"/>
    <w:qFormat/>
    <w:pPr>
      <w:widowControl w:val="0"/>
      <w:adjustRightInd w:val="0"/>
      <w:spacing w:line="420" w:lineRule="atLeast"/>
      <w:jc w:val="left"/>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1447816">
      <w:bodyDiv w:val="1"/>
      <w:marLeft w:val="0"/>
      <w:marRight w:val="0"/>
      <w:marTop w:val="0"/>
      <w:marBottom w:val="0"/>
      <w:divBdr>
        <w:top w:val="none" w:sz="0" w:space="0" w:color="auto"/>
        <w:left w:val="none" w:sz="0" w:space="0" w:color="auto"/>
        <w:bottom w:val="none" w:sz="0" w:space="0" w:color="auto"/>
        <w:right w:val="none" w:sz="0" w:space="0" w:color="auto"/>
      </w:divBdr>
    </w:div>
    <w:div w:id="1586719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21</Pages>
  <Words>2737</Words>
  <Characters>15607</Characters>
  <Application>Microsoft Office Word</Application>
  <DocSecurity>0</DocSecurity>
  <Lines>130</Lines>
  <Paragraphs>36</Paragraphs>
  <ScaleCrop>false</ScaleCrop>
  <Company>微软中国</Company>
  <LinksUpToDate>false</LinksUpToDate>
  <CharactersWithSpaces>18308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内黄县第一高级中学所需多媒体教室设备项目</dc:title>
  <dc:creator>ZM</dc:creator>
  <cp:lastModifiedBy>xb21cn</cp:lastModifiedBy>
  <cp:revision>102</cp:revision>
  <cp:lastPrinted>2021-07-09T10:13:00Z</cp:lastPrinted>
  <dcterms:created xsi:type="dcterms:W3CDTF">2022-06-30T01:53:00Z</dcterms:created>
  <dcterms:modified xsi:type="dcterms:W3CDTF">2022-07-07T07:54:00Z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A16109E6B3D740BDA5D9D3BCAE8F1E34</vt:lpwstr>
  </property>
  <property fmtid="{D5CDD505-2E9C-101B-9397-08002B2CF9AE}" pid="3" name="KSOProductBuildVer">
    <vt:lpwstr>2052-11.1.0.11830</vt:lpwstr>
  </property>
</Properties>
</file>